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11" w:rsidRPr="006869CB" w:rsidRDefault="00486511" w:rsidP="00486511">
      <w:pPr>
        <w:ind w:firstLine="708"/>
        <w:jc w:val="right"/>
        <w:rPr>
          <w:rFonts w:ascii="Times New Roman" w:hAnsi="Times New Roman" w:cs="Times New Roman"/>
          <w:b/>
        </w:rPr>
      </w:pPr>
      <w:r w:rsidRPr="006869CB">
        <w:rPr>
          <w:rFonts w:ascii="Times New Roman" w:hAnsi="Times New Roman" w:cs="Times New Roman"/>
          <w:b/>
        </w:rPr>
        <w:t>Приложение № 3а</w:t>
      </w:r>
    </w:p>
    <w:p w:rsidR="00230093" w:rsidRPr="006869CB" w:rsidRDefault="00230093" w:rsidP="002300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Ключови индикатори за изпълнение на политиките и целеви стойности за периода </w:t>
      </w:r>
      <w:r w:rsidR="00335542"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>202</w:t>
      </w:r>
      <w:r w:rsidR="00F73FAA"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>5</w:t>
      </w:r>
      <w:r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>-</w:t>
      </w:r>
      <w:r w:rsidR="00335542"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>202</w:t>
      </w:r>
      <w:r w:rsidR="00F73FAA"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>8</w:t>
      </w:r>
      <w:r w:rsidR="00335542"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869C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г. </w:t>
      </w:r>
    </w:p>
    <w:p w:rsidR="00230093" w:rsidRPr="006869CB" w:rsidRDefault="00230093" w:rsidP="00230093">
      <w:pPr>
        <w:pStyle w:val="Heading1"/>
        <w:ind w:firstLine="0"/>
        <w:jc w:val="center"/>
        <w:rPr>
          <w:caps w:val="0"/>
          <w:szCs w:val="24"/>
        </w:rPr>
      </w:pPr>
      <w:r w:rsidRPr="006869CB">
        <w:rPr>
          <w:caps w:val="0"/>
          <w:szCs w:val="24"/>
        </w:rPr>
        <w:t>на</w:t>
      </w:r>
      <w:r w:rsidRPr="006869CB">
        <w:rPr>
          <w:b w:val="0"/>
          <w:caps w:val="0"/>
          <w:szCs w:val="24"/>
        </w:rPr>
        <w:t xml:space="preserve"> </w:t>
      </w:r>
      <w:r w:rsidR="00110B7B" w:rsidRPr="006869CB">
        <w:rPr>
          <w:caps w:val="0"/>
          <w:szCs w:val="24"/>
        </w:rPr>
        <w:t>Министерство на регионалното развитие и благоустройството</w:t>
      </w:r>
    </w:p>
    <w:p w:rsidR="00230093" w:rsidRPr="006869CB" w:rsidRDefault="00230093" w:rsidP="00230093">
      <w:pPr>
        <w:pStyle w:val="Heading1"/>
        <w:ind w:firstLine="0"/>
        <w:jc w:val="center"/>
        <w:rPr>
          <w:caps w:val="0"/>
          <w:sz w:val="18"/>
          <w:szCs w:val="18"/>
        </w:rPr>
      </w:pPr>
      <w:r w:rsidRPr="006869CB">
        <w:rPr>
          <w:caps w:val="0"/>
          <w:sz w:val="18"/>
          <w:szCs w:val="18"/>
        </w:rPr>
        <w:t>(наименование на бюджетната организация)</w:t>
      </w:r>
    </w:p>
    <w:p w:rsidR="00110B7B" w:rsidRPr="006869CB" w:rsidRDefault="00110B7B" w:rsidP="009321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  <w:lang w:val="ru-RU"/>
        </w:rPr>
        <w:t>2100.01.00  ПОЛИТИКА ЗА ИНТЕГРИРАНО РАЗВИТИЕ НА РЕГИОНИТЕ ЗА ПОСТИГАНЕ НА РАСТЕЖ И ПОДОБРЯВАНЕ КАЧЕСТВОТО НА ЖИЗНЕНАТА СРЕДА</w:t>
      </w:r>
    </w:p>
    <w:p w:rsidR="00766A55" w:rsidRPr="006869CB" w:rsidRDefault="00091C5B" w:rsidP="00932105">
      <w:pPr>
        <w:pStyle w:val="ListParagraph"/>
        <w:numPr>
          <w:ilvl w:val="0"/>
          <w:numId w:val="3"/>
        </w:numPr>
        <w:spacing w:before="120" w:after="120" w:line="240" w:lineRule="auto"/>
        <w:ind w:hanging="153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</w:rPr>
        <w:t>Кратко описание на обхвата на област</w:t>
      </w:r>
      <w:r w:rsidR="00766A55" w:rsidRPr="006869CB">
        <w:rPr>
          <w:rFonts w:ascii="Times New Roman" w:hAnsi="Times New Roman" w:cs="Times New Roman"/>
          <w:b/>
          <w:i/>
          <w:color w:val="0000CC"/>
        </w:rPr>
        <w:t>та на политиката</w:t>
      </w:r>
      <w:r w:rsidRPr="006869CB">
        <w:rPr>
          <w:rFonts w:ascii="Times New Roman" w:hAnsi="Times New Roman" w:cs="Times New Roman"/>
          <w:b/>
          <w:i/>
          <w:color w:val="0000CC"/>
        </w:rPr>
        <w:t>, за ко</w:t>
      </w:r>
      <w:r w:rsidR="00766A55" w:rsidRPr="006869CB">
        <w:rPr>
          <w:rFonts w:ascii="Times New Roman" w:hAnsi="Times New Roman" w:cs="Times New Roman"/>
          <w:b/>
          <w:i/>
          <w:color w:val="0000CC"/>
        </w:rPr>
        <w:t>ято</w:t>
      </w:r>
      <w:r w:rsidRPr="006869CB">
        <w:rPr>
          <w:rFonts w:ascii="Times New Roman" w:hAnsi="Times New Roman" w:cs="Times New Roman"/>
          <w:b/>
          <w:i/>
          <w:color w:val="0000CC"/>
        </w:rPr>
        <w:t xml:space="preserve"> ПРБ отговаря</w:t>
      </w:r>
    </w:p>
    <w:p w:rsidR="00133ADB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Политиката в областта на интегрирано  развитие на регионите,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бизнес, както и прилагане на целенасочени мерки за подпомагане на регионите, изоставащи с развитието си, като се отчитат специфичните им нужди и местния потенциал за развитие. Ключовите индикатори за изпълнение на политиката са в съответствие с целите на Националната програма за развитие: БЪЛГАРИЯ 2030 и в този смисъл не е необходимо да бъдат актуализирани.</w:t>
      </w:r>
    </w:p>
    <w:p w:rsidR="00133ADB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Желаният резултат ще се постигне чрез интегрирани действия в различни области на развитие, насочени в един фокус – сближаване.</w:t>
      </w:r>
    </w:p>
    <w:p w:rsidR="00133ADB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Сближаването има три аспекта – икономическо, социално и териториално сближаване, както и три нива – европейско – с регионите на ЕС, национално – между българските райони и вътрешно регионално – между общините в отделните райони.</w:t>
      </w:r>
    </w:p>
    <w:p w:rsidR="00133ADB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</w:rPr>
        <w:t xml:space="preserve">Визията за развитието на политиката е тясно обвързана с мерките, определени в Приоритет 5 „Балансирано регионално развитие“ от програмата за управление на Правителството на Република България за периода 2017-2021, както и с приоритетите на министерството, съгласно стратегическите документи в областта на регионалното развитие и ефективното усвояване на ресурсите на оперативните програми. </w:t>
      </w:r>
    </w:p>
    <w:p w:rsidR="00CC4781" w:rsidRPr="006869CB" w:rsidRDefault="00CC4781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6869CB">
        <w:rPr>
          <w:rFonts w:ascii="Times New Roman" w:eastAsia="Calibri" w:hAnsi="Times New Roman" w:cs="Times New Roman"/>
        </w:rPr>
        <w:t>Министърът на регионалното развитие и благоустройството, изпълнява политиката за интегрирано развитие на регионите за постигане на растеж и подобряване качеството на жизнената среда, чрез следните дирекции/главни дирекции:</w:t>
      </w:r>
      <w:r w:rsidRPr="006869CB">
        <w:rPr>
          <w:rFonts w:ascii="Times New Roman" w:eastAsia="Calibri" w:hAnsi="Times New Roman" w:cs="Times New Roman"/>
          <w:b/>
        </w:rPr>
        <w:t xml:space="preserve"> </w:t>
      </w:r>
    </w:p>
    <w:p w:rsidR="00133ADB" w:rsidRPr="006869CB" w:rsidRDefault="00CC4781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  <w:b/>
          <w:i/>
        </w:rPr>
        <w:t>Главна дирекция „Стратегическо планиране и програми за регионално развитие“</w:t>
      </w:r>
      <w:r w:rsidRPr="006869CB">
        <w:rPr>
          <w:rFonts w:ascii="Times New Roman" w:eastAsia="Calibri" w:hAnsi="Times New Roman" w:cs="Times New Roman"/>
        </w:rPr>
        <w:t xml:space="preserve"> се стреми да </w:t>
      </w:r>
      <w:r w:rsidR="00133ADB" w:rsidRPr="006869CB">
        <w:rPr>
          <w:rFonts w:ascii="Times New Roman" w:eastAsia="Calibri" w:hAnsi="Times New Roman" w:cs="Times New Roman"/>
        </w:rPr>
        <w:t xml:space="preserve">създава условия за балансирано и устойчиво интегрирано развитие на регионите в България, както и превръщането им в по-привлекателни места за живеене и работа, чрез подобряване на средата за живеене и бизнес, транспортната свързаност, достъпа до публични услуги, повишаване на трудовата заетост и съхраняване на природната среда и опазване на културната им идентичност. Развитието на политиката обхваща и: </w:t>
      </w:r>
    </w:p>
    <w:p w:rsidR="00133ADB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</w:rPr>
        <w:t>•</w:t>
      </w:r>
      <w:r w:rsidRPr="006869CB">
        <w:rPr>
          <w:rFonts w:ascii="Times New Roman" w:eastAsia="Calibri" w:hAnsi="Times New Roman" w:cs="Times New Roman"/>
        </w:rPr>
        <w:tab/>
        <w:t>разработване и изпълнение на система от нормативно регламентирани стратегически документи, в които са формулирани цели и приоритети за устойчиво регионално развитие, с цел постигане на интелигентен, устойчив и приобщаващ растеж и висока заетост в районите, в административно – териториалните и в териториалните единици;</w:t>
      </w:r>
    </w:p>
    <w:p w:rsidR="00133ADB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</w:rPr>
        <w:t>•</w:t>
      </w:r>
      <w:r w:rsidRPr="006869CB">
        <w:rPr>
          <w:rFonts w:ascii="Times New Roman" w:eastAsia="Calibri" w:hAnsi="Times New Roman" w:cs="Times New Roman"/>
        </w:rPr>
        <w:tab/>
        <w:t>разработване и прилагане на целенасочени мерки за подпомагане развитието на регионите, изоставащи развитието си, като се отчитат специфичните им нужди и местния потенциал за развитие;</w:t>
      </w:r>
    </w:p>
    <w:p w:rsidR="00CC4781" w:rsidRPr="006869CB" w:rsidRDefault="00133ADB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</w:rPr>
        <w:t>•</w:t>
      </w:r>
      <w:r w:rsidRPr="006869CB">
        <w:rPr>
          <w:rFonts w:ascii="Times New Roman" w:eastAsia="Calibri" w:hAnsi="Times New Roman" w:cs="Times New Roman"/>
        </w:rPr>
        <w:tab/>
        <w:t>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политики.</w:t>
      </w:r>
    </w:p>
    <w:p w:rsidR="00CC4781" w:rsidRPr="006869CB" w:rsidRDefault="00CC4781" w:rsidP="0093210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b/>
          <w:i/>
          <w:lang w:eastAsia="bg-BG"/>
        </w:rPr>
        <w:t>Дирекция „Управление на териториалното сътрудничество“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се стреми към:</w:t>
      </w:r>
    </w:p>
    <w:p w:rsidR="00CC4781" w:rsidRPr="006869CB" w:rsidRDefault="00CC4781" w:rsidP="00932105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Устойчиво развитие на трансграничните региони в подкрепа на усилията за разширено европейско сътрудничество и интеграция;</w:t>
      </w:r>
    </w:p>
    <w:p w:rsidR="00CC4781" w:rsidRPr="006869CB" w:rsidRDefault="00CC4781" w:rsidP="00932105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Организиране и координация на цялостния процес при изпълнението на проектите и програмите по европейско териториално сътрудничество (вкл. програмиране, наблюдение, контрол, оценка на риска, оценка на програмите, финансово управление и др.);</w:t>
      </w:r>
    </w:p>
    <w:p w:rsidR="00CC4781" w:rsidRPr="006869CB" w:rsidRDefault="00CC4781" w:rsidP="00932105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Укрепване на капацитета на структурите по програмите за европейско териториално сътрудничество, в които Република България участва.</w:t>
      </w:r>
    </w:p>
    <w:p w:rsidR="00FC1323" w:rsidRPr="006869CB" w:rsidRDefault="00CC4781" w:rsidP="0093210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lastRenderedPageBreak/>
        <w:t>Дирекция „Жилищна политика“</w:t>
      </w:r>
      <w:r w:rsidRPr="006869CB">
        <w:rPr>
          <w:rFonts w:ascii="Times New Roman" w:hAnsi="Times New Roman" w:cs="Times New Roman"/>
        </w:rPr>
        <w:t xml:space="preserve"> - </w:t>
      </w:r>
      <w:r w:rsidRPr="006869CB">
        <w:rPr>
          <w:rFonts w:ascii="Times New Roman" w:eastAsia="Calibri" w:hAnsi="Times New Roman" w:cs="Times New Roman"/>
        </w:rPr>
        <w:t>по отношение на дейността, свързана с</w:t>
      </w:r>
      <w:r w:rsidRPr="006869CB">
        <w:rPr>
          <w:rFonts w:ascii="Times New Roman" w:eastAsia="Calibri" w:hAnsi="Times New Roman" w:cs="Times New Roman"/>
          <w:b/>
          <w:i/>
        </w:rPr>
        <w:t xml:space="preserve"> </w:t>
      </w:r>
      <w:r w:rsidRPr="006869CB">
        <w:rPr>
          <w:rFonts w:ascii="Times New Roman" w:eastAsia="Calibri" w:hAnsi="Times New Roman" w:cs="Times New Roman"/>
          <w:i/>
        </w:rPr>
        <w:t>обновяване на жилищния сграден фонд,</w:t>
      </w:r>
      <w:r w:rsidRPr="006869CB">
        <w:rPr>
          <w:rFonts w:ascii="Times New Roman" w:eastAsia="Calibri" w:hAnsi="Times New Roman" w:cs="Times New Roman"/>
        </w:rPr>
        <w:t xml:space="preserve"> с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тремежът е към </w:t>
      </w:r>
      <w:r w:rsidRPr="006869CB">
        <w:rPr>
          <w:rFonts w:ascii="Times New Roman" w:eastAsia="Calibri" w:hAnsi="Times New Roman" w:cs="Times New Roman"/>
        </w:rPr>
        <w:t>създаване на балансирана, съразмерно развиваща се и устойчива жилищна система чрез осигуряване на условия за достъп до качествени жилища (собствени или наемни), които да задоволяват нуждите на българските граждани.</w:t>
      </w:r>
      <w:r w:rsidR="00FC1323" w:rsidRPr="006869CB">
        <w:rPr>
          <w:rFonts w:ascii="Times New Roman" w:eastAsia="Times New Roman" w:hAnsi="Times New Roman" w:cs="Times New Roman"/>
          <w:lang w:eastAsia="bg-BG"/>
        </w:rPr>
        <w:t xml:space="preserve"> </w:t>
      </w:r>
      <w:r w:rsidR="00FC1323" w:rsidRPr="006869CB">
        <w:rPr>
          <w:rFonts w:ascii="Times New Roman" w:eastAsia="Calibri" w:hAnsi="Times New Roman" w:cs="Times New Roman"/>
        </w:rPr>
        <w:t>Дейностите по политиката са насочени към обновяване на многофамилни жилищни сгради, като с нея се цели, чрез изпълнение на мерки за енергийна ефективност, да се осигурят по-добри условия на живот за гражданите в многофамилни жилищни сгради, топлинен комфорт и по-високо качество на жизнената среда.</w:t>
      </w:r>
    </w:p>
    <w:p w:rsidR="00CC4781" w:rsidRPr="006869CB" w:rsidRDefault="00CC4781" w:rsidP="0093210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6869CB">
        <w:rPr>
          <w:rFonts w:ascii="Times New Roman" w:hAnsi="Times New Roman" w:cs="Times New Roman"/>
          <w:b/>
          <w:i/>
        </w:rPr>
        <w:t>Дирекция „Устройство на територията и административно – териториално устройство“</w:t>
      </w:r>
    </w:p>
    <w:p w:rsidR="0038562D" w:rsidRPr="006869CB" w:rsidRDefault="0038562D" w:rsidP="0093210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Балансирано административно-териториално устройство, развитие и подпомагане на местното самоуправление в България, децентрализация на държавното управление, включително финансова децентрализация, насърчаване на доброто демократично управление на местно ниво в контекста на европейските принципи и стандарти, координиране на дейността по участието на българските делегации в Конгреса на местните и регионалните власти на Съвета на Европа и Комитета на регионите в Европейския съюз, разработване и изпълнение на проекти, съфинансирани от фондовете на Европейския съюз.</w:t>
      </w:r>
    </w:p>
    <w:p w:rsidR="00CC4781" w:rsidRPr="006869CB" w:rsidRDefault="00CC4781" w:rsidP="0093210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6869CB">
        <w:rPr>
          <w:rFonts w:ascii="Times New Roman" w:hAnsi="Times New Roman" w:cs="Times New Roman"/>
          <w:b/>
          <w:i/>
        </w:rPr>
        <w:t>Дирекция „Държавна собственост и търговски дружества“</w:t>
      </w:r>
    </w:p>
    <w:p w:rsidR="00CC4781" w:rsidRPr="006869CB" w:rsidRDefault="00CC4781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Управление държавната собственост и търговските дружества от системата на МРРБ.</w:t>
      </w:r>
    </w:p>
    <w:p w:rsidR="000163AC" w:rsidRPr="006869CB" w:rsidRDefault="000163AC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Въз основа на подготвени от страна на Дирекция </w:t>
      </w:r>
      <w:r w:rsidR="00436131" w:rsidRPr="006869CB">
        <w:rPr>
          <w:rFonts w:ascii="Times New Roman" w:eastAsia="Times New Roman" w:hAnsi="Times New Roman" w:cs="Times New Roman"/>
          <w:lang w:eastAsia="bg-BG"/>
        </w:rPr>
        <w:t>„</w:t>
      </w:r>
      <w:r w:rsidRPr="006869CB">
        <w:rPr>
          <w:rFonts w:ascii="Times New Roman" w:eastAsia="Times New Roman" w:hAnsi="Times New Roman" w:cs="Times New Roman"/>
          <w:lang w:eastAsia="bg-BG"/>
        </w:rPr>
        <w:t>Държавна собственост и търговски дружества</w:t>
      </w:r>
      <w:r w:rsidR="00436131" w:rsidRPr="006869CB">
        <w:rPr>
          <w:rFonts w:ascii="Times New Roman" w:eastAsia="Times New Roman" w:hAnsi="Times New Roman" w:cs="Times New Roman"/>
          <w:lang w:eastAsia="bg-BG"/>
        </w:rPr>
        <w:t xml:space="preserve">“ </w:t>
      </w:r>
      <w:r w:rsidRPr="006869CB">
        <w:rPr>
          <w:rFonts w:ascii="Times New Roman" w:eastAsia="Times New Roman" w:hAnsi="Times New Roman" w:cs="Times New Roman"/>
          <w:lang w:eastAsia="bg-BG"/>
        </w:rPr>
        <w:t>доклади от министъра на регионалното развитие</w:t>
      </w:r>
      <w:r w:rsidR="00436131" w:rsidRPr="006869CB">
        <w:rPr>
          <w:rFonts w:ascii="Times New Roman" w:eastAsia="Times New Roman" w:hAnsi="Times New Roman" w:cs="Times New Roman"/>
          <w:lang w:eastAsia="bg-BG"/>
        </w:rPr>
        <w:t>,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относно проекти на Решения на Министерския съвет, касаещи имотите – държавна собственост, и приемането им от МС се осъществява и постига:</w:t>
      </w:r>
    </w:p>
    <w:p w:rsidR="000163AC" w:rsidRPr="006869CB" w:rsidRDefault="000163AC" w:rsidP="00932105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трайно задоволяване на обществени нужди от местно значение и реализиране на отделни проекти с обществена значимост;</w:t>
      </w:r>
    </w:p>
    <w:p w:rsidR="000163AC" w:rsidRPr="006869CB" w:rsidRDefault="000163AC" w:rsidP="00932105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задоволяване административните нужди на различни ведомства и организации на бюджетна издръжка;</w:t>
      </w:r>
    </w:p>
    <w:p w:rsidR="000163AC" w:rsidRPr="006869CB" w:rsidRDefault="000163AC" w:rsidP="00932105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изграждането на обектите на транспортната инфраструктура, което е 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трафик, и подобряване безопасността и сигурността на движението;</w:t>
      </w:r>
    </w:p>
    <w:p w:rsidR="000163AC" w:rsidRPr="006869CB" w:rsidRDefault="000163AC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Въз основа на упражняване на правомощията и компетенциите на министъра на регионалното развитие и благоустройството в качеството му на представител на държавата, като собственик на акции и дялове в публичните предприятия с над 50 на сто държавно участие от системата на МРРБ се обезпечават:</w:t>
      </w:r>
    </w:p>
    <w:p w:rsidR="000163AC" w:rsidRPr="006869CB" w:rsidRDefault="000163AC" w:rsidP="00932105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Благоприятни условия и възможност за ефективно и ефикасно управление и функциониране на публичните предприятия;</w:t>
      </w:r>
    </w:p>
    <w:p w:rsidR="000163AC" w:rsidRPr="006869CB" w:rsidRDefault="000163AC" w:rsidP="00932105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Максимизиране на ползите за обществото, чрез предоставяне на качествени стоки и услуги, обект на висок обществен интерес, поддържане и следене за осигуряване на планираните приходи от дивиденти в полза на държавата, както и прилагане на мерки за максимално усвояване от предприятията на безвъзмездния финансов ресурс, предоставян чрез Структурните фондове и програми на Европейския съюз.</w:t>
      </w:r>
    </w:p>
    <w:p w:rsidR="00AE0B4B" w:rsidRPr="006869CB" w:rsidRDefault="00766A55" w:rsidP="00932105">
      <w:pPr>
        <w:pStyle w:val="ListParagraph"/>
        <w:numPr>
          <w:ilvl w:val="0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</w:rPr>
        <w:t>Отговорност</w:t>
      </w:r>
      <w:r w:rsidR="00D545AA" w:rsidRPr="006869CB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AE0B4B" w:rsidRPr="006869CB">
        <w:rPr>
          <w:rFonts w:ascii="Times New Roman" w:hAnsi="Times New Roman" w:cs="Times New Roman"/>
          <w:b/>
          <w:i/>
          <w:color w:val="0000CC"/>
        </w:rPr>
        <w:t>за</w:t>
      </w:r>
      <w:r w:rsidR="00091C5B" w:rsidRPr="006869CB">
        <w:rPr>
          <w:rFonts w:ascii="Times New Roman" w:hAnsi="Times New Roman" w:cs="Times New Roman"/>
          <w:b/>
          <w:i/>
          <w:color w:val="0000CC"/>
        </w:rPr>
        <w:t xml:space="preserve"> разпределението на публичните разходи</w:t>
      </w:r>
      <w:r w:rsidR="00AE0B4B" w:rsidRPr="006869CB">
        <w:rPr>
          <w:rFonts w:ascii="Times New Roman" w:hAnsi="Times New Roman" w:cs="Times New Roman"/>
          <w:b/>
          <w:i/>
          <w:color w:val="0000CC"/>
        </w:rPr>
        <w:t xml:space="preserve"> за политиката</w:t>
      </w:r>
    </w:p>
    <w:p w:rsidR="00223EEC" w:rsidRPr="006869CB" w:rsidRDefault="00133ADB" w:rsidP="00932105">
      <w:pPr>
        <w:pStyle w:val="ListParagraph"/>
        <w:numPr>
          <w:ilvl w:val="1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6869CB">
        <w:rPr>
          <w:rFonts w:ascii="Times New Roman" w:hAnsi="Times New Roman" w:cs="Times New Roman"/>
          <w:i/>
        </w:rPr>
        <w:t xml:space="preserve"> </w:t>
      </w:r>
      <w:r w:rsidR="0032516B" w:rsidRPr="006869CB">
        <w:rPr>
          <w:rFonts w:ascii="Times New Roman" w:hAnsi="Times New Roman" w:cs="Times New Roman"/>
          <w:i/>
        </w:rPr>
        <w:t>Консолидирани разходи по политиката, които ПРБ разходва пряко чрез бюджета и отговаря за разпределението/разчитането на разходи по д</w:t>
      </w:r>
      <w:r w:rsidR="00223EEC" w:rsidRPr="006869CB">
        <w:rPr>
          <w:rFonts w:ascii="Times New Roman" w:hAnsi="Times New Roman" w:cs="Times New Roman"/>
          <w:i/>
        </w:rPr>
        <w:t>руги бюджети и ССЕС;</w:t>
      </w:r>
    </w:p>
    <w:tbl>
      <w:tblPr>
        <w:tblW w:w="10103" w:type="dxa"/>
        <w:tblLook w:val="04A0" w:firstRow="1" w:lastRow="0" w:firstColumn="1" w:lastColumn="0" w:noHBand="0" w:noVBand="1"/>
      </w:tblPr>
      <w:tblGrid>
        <w:gridCol w:w="3823"/>
        <w:gridCol w:w="1580"/>
        <w:gridCol w:w="1420"/>
        <w:gridCol w:w="1600"/>
        <w:gridCol w:w="1680"/>
      </w:tblGrid>
      <w:tr w:rsidR="0088216A" w:rsidRPr="006869CB" w:rsidTr="0088216A">
        <w:trPr>
          <w:trHeight w:val="4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Област на политика (в хил. лв.)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Общо разходи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По бюджета на ПРБ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По други бюджети и сметки за СЕС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Политика за интегрирано развитие на регионите за постигане на растеж и подобряване качеството на жизнената среда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Проект 2025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2 498 323,6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8 477,0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2 489 846,6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Прогноза 2026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2 837 010,9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8 561,0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2 828 449,9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Прогноза 2027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1 330 903,2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8 561,0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1 322 342,2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Прогноза 2028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1 092 292,1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8 561,0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1 083 731,1</w:t>
            </w:r>
          </w:p>
        </w:tc>
      </w:tr>
    </w:tbl>
    <w:p w:rsidR="00FC1323" w:rsidRPr="006869CB" w:rsidRDefault="00FC1323" w:rsidP="00D94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6869CB">
        <w:rPr>
          <w:rFonts w:ascii="Times New Roman" w:eastAsia="Times New Roman" w:hAnsi="Times New Roman" w:cs="Times New Roman"/>
          <w:b/>
          <w:i/>
          <w:lang w:eastAsia="bg-BG"/>
        </w:rPr>
        <w:t>Програма „Развитие на регионите“ 2021-2027 г.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Предвижда се ПРР 2021-2027 г. да бъде изцяло насочена към цел на политиката 5 съгласно Регламент 2021/1060 с общите разпоредби за фондовете</w:t>
      </w:r>
      <w:r w:rsidRPr="006869CB">
        <w:rPr>
          <w:rFonts w:ascii="Times New Roman" w:eastAsia="Times New Roman" w:hAnsi="Times New Roman" w:cs="Times New Roman"/>
          <w:lang w:val="en-US" w:eastAsia="bg-BG"/>
        </w:rPr>
        <w:t xml:space="preserve"> – 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„Европа по-близо до гражданите </w:t>
      </w:r>
      <w:r w:rsidRPr="006869CB">
        <w:rPr>
          <w:rFonts w:ascii="Times New Roman" w:eastAsia="Times New Roman" w:hAnsi="Times New Roman" w:cs="Times New Roman"/>
          <w:lang w:val="ru-RU" w:eastAsia="bg-BG"/>
        </w:rPr>
        <w:t>чрез насърчаване на устойчивото и интегрирано развитие на градските, селските и крайбрежните райони и на местните инициативи</w:t>
      </w:r>
      <w:r w:rsidRPr="006869CB">
        <w:rPr>
          <w:rFonts w:ascii="Times New Roman" w:eastAsia="Times New Roman" w:hAnsi="Times New Roman" w:cs="Times New Roman"/>
          <w:lang w:val="en-US" w:eastAsia="bg-BG"/>
        </w:rPr>
        <w:t>”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, а целите на оперативната програма да бъдат адресирани чрез прилагането на интегриран </w:t>
      </w:r>
      <w:r w:rsidRPr="006869CB">
        <w:rPr>
          <w:rFonts w:ascii="Times New Roman" w:eastAsia="Times New Roman" w:hAnsi="Times New Roman" w:cs="Times New Roman"/>
          <w:lang w:eastAsia="bg-BG"/>
        </w:rPr>
        <w:lastRenderedPageBreak/>
        <w:t>териториален подход: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стратегии, като в подбора на проектите ще участват съответните териториални органи. В допълнение, в рамките на ПРР 2021-2027 г. ще бъдат изпълнявани проекти от териториалните планове за справедлив преход, със средства от Фонда за справедлив преход.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  <w:lang w:eastAsia="bg-BG"/>
        </w:rPr>
      </w:pPr>
      <w:r w:rsidRPr="006869CB">
        <w:rPr>
          <w:rFonts w:ascii="Times New Roman" w:eastAsia="Times New Roman" w:hAnsi="Times New Roman" w:cs="Times New Roman"/>
          <w:b/>
          <w:bCs/>
          <w:lang w:eastAsia="bg-BG"/>
        </w:rPr>
        <w:t>Предоставяни по програмата продукти/услуги,  вкл. отчитащи приноса на ФСП: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Продукт/услуга: Насърчаване на регионалния туризъм чрез опазване, популяризиране и развитие на културното и природно наследство;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Продукт/услуга: Подобряване на социалната, образователната, културната, здравната и спортната инфраструктура;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Продукт/услуга: Повишаване на енергийната ефективност, внедряване на мерки за устойчива градска мобилност и осигуряване на качествена и безопасна околна среда;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Продукт/услуга: Насърчаване на икономическата активност и развитие на икономически дейности чрез инвестиции в инфраструктура за бизнес и предприемачество; 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Продукт/услуга: Подобряване на свързаността и функционалните връзки между териториите чрез инвестиции в пътна инфраструктура и безопасност на движението. 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Продукт/услуга: Подкрепа за мерките, насърчаващи разработване и внедряване на нови устойчиви енергийни решения;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Продукт/услуга: Осигуряване на възможности за плавен преход към климатично неутрална икономика във въглищните региони, базиран на квалифицирана заетост, предприемачество, социални услуги и защита;</w:t>
      </w:r>
    </w:p>
    <w:p w:rsidR="00D94DB3" w:rsidRPr="006869CB" w:rsidRDefault="00D94DB3" w:rsidP="0093210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Продукт/услуга: Подкрепа за диверсификация на местната икономика - подкрепа за икономическата диверсификация/създаване на работни места, развитие на нови икономически сектори, създаване на нови работни места и стартиращи фирми и развитие на предприятия.</w:t>
      </w:r>
    </w:p>
    <w:p w:rsidR="00D94DB3" w:rsidRPr="006869CB" w:rsidRDefault="00D94DB3" w:rsidP="0093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В допълнение, предвид факта, че предвиждания за изпълнение интегриран териториален подход е нова инициатива и е необходимо изграждане на капацитет за прилагането му, както по отношение на териториалните органи, които ще участват в подбора на проектите, така и на бенефициентите по програмата, се предвижда изпълнението на пътна карта за подобряване на капацитета на УО, териториалните органи (10 градски общини и 6 регионални съвети за развитие), на бенефициентите и партньорите по програмата.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6869CB">
        <w:rPr>
          <w:rFonts w:ascii="Times New Roman" w:eastAsia="Times New Roman" w:hAnsi="Times New Roman" w:cs="Times New Roman"/>
          <w:b/>
          <w:i/>
          <w:lang w:eastAsia="bg-BG"/>
        </w:rPr>
        <w:t>Национален план за възстановяване и устойчивост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В рамките на Националния план за възстановяване и устойчивост (НПВУ) ГД СППРР има отговорности по подготовката и изпълнението на проект 9б „Подкрепа за устойчиво енергийно обновяване на нежилищния сграден фонд“ и на проект 25 „Екологосъобразна мобилност“ - пилотна схема за подкрепа на устойчивата градска мобилност чрез мерки за развитие на екологични, безопасни, функционални и енергийно ефективни транспортни системи“.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6869CB">
        <w:rPr>
          <w:rFonts w:ascii="Times New Roman" w:eastAsia="Times New Roman" w:hAnsi="Times New Roman" w:cs="Times New Roman"/>
          <w:b/>
          <w:i/>
          <w:lang w:eastAsia="bg-BG"/>
        </w:rPr>
        <w:t>Проект 9б „Подкрепа за устойчиво енергийно обновяване на нежилищния сграден фонд“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Дейностите по този проект са пряко насочени към постигане на икономии на енергия чрез целенасочени инвестиции и устойчиво енергийно обновяване на нежилищния сграден фонд. Основните цели са насочени към подобряване на енергийните характеристики на националния сграден фонд от нежилищни сгради; достигане на клас на енергопотребление „А“ и „Б“ след прилагане на енергоспестяващи мерки при публични сгради; намаляване на разходите за енергопотребление, което ще доведе и до спестяване на публичен ресурс; подобряване на условията в помещенията за предоставяне на услуги и за работа; постигане на 30% спестяване на първична енергия за всеки обект от нежилищния сграден фонд. Проектът е структуриран в 3 основни компонента, както следва: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К</w:t>
      </w:r>
      <w:r w:rsidR="0047668C" w:rsidRPr="006869CB">
        <w:rPr>
          <w:rFonts w:ascii="Times New Roman" w:eastAsia="Times New Roman" w:hAnsi="Times New Roman" w:cs="Times New Roman"/>
          <w:lang w:eastAsia="bg-BG"/>
        </w:rPr>
        <w:t>омпонент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1 – </w:t>
      </w:r>
      <w:r w:rsidR="0047668C" w:rsidRPr="006869CB">
        <w:rPr>
          <w:rFonts w:ascii="Times New Roman" w:eastAsia="Times New Roman" w:hAnsi="Times New Roman" w:cs="Times New Roman"/>
          <w:lang w:eastAsia="bg-BG"/>
        </w:rPr>
        <w:t>Публични сгради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Финансиране на мерки за устойчиво енергийно обновяване на държавни и общински сгради  (в т.ч. сгради за административно обслужване, сгради за обществено обслужване в областта на културата и изкуството и сгради за спорт, както и сгради, собственост на Българска академия на науките).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Бюджет на Компонент 1 е в размер на 370,3 млн. лв. без ДДС. Допустими бенефициенти по Компонент 1 са: </w:t>
      </w:r>
    </w:p>
    <w:p w:rsidR="00D94DB3" w:rsidRPr="006869CB" w:rsidRDefault="009A6C01" w:rsidP="00932105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В</w:t>
      </w:r>
      <w:r w:rsidR="00D94DB3" w:rsidRPr="006869CB">
        <w:rPr>
          <w:rFonts w:ascii="Times New Roman" w:eastAsia="Times New Roman" w:hAnsi="Times New Roman" w:cs="Times New Roman"/>
          <w:lang w:eastAsia="bg-BG"/>
        </w:rPr>
        <w:t>с</w:t>
      </w:r>
      <w:r w:rsidR="0047668C" w:rsidRPr="006869CB">
        <w:rPr>
          <w:rFonts w:ascii="Times New Roman" w:eastAsia="Times New Roman" w:hAnsi="Times New Roman" w:cs="Times New Roman"/>
          <w:lang w:eastAsia="bg-BG"/>
        </w:rPr>
        <w:t>ички общини на територията на Република</w:t>
      </w:r>
      <w:r w:rsidR="00D94DB3" w:rsidRPr="006869CB">
        <w:rPr>
          <w:rFonts w:ascii="Times New Roman" w:eastAsia="Times New Roman" w:hAnsi="Times New Roman" w:cs="Times New Roman"/>
          <w:lang w:eastAsia="bg-BG"/>
        </w:rPr>
        <w:t xml:space="preserve"> България в партньорство с компетентен национален орган (областни администрации, министерства и др.) или друг партньор (собственик на сградата), съобразно спецификата и собствеността на обекта в рамките на процедура BG-RRP-4.020 „Подкрепа за </w:t>
      </w:r>
      <w:r w:rsidR="00D94DB3" w:rsidRPr="006869CB">
        <w:rPr>
          <w:rFonts w:ascii="Times New Roman" w:eastAsia="Times New Roman" w:hAnsi="Times New Roman" w:cs="Times New Roman"/>
          <w:lang w:eastAsia="bg-BG"/>
        </w:rPr>
        <w:lastRenderedPageBreak/>
        <w:t xml:space="preserve">устойчиво енергийно обновяване на публичен сграден фонд за административно обслужване, култура и спорт; </w:t>
      </w:r>
    </w:p>
    <w:p w:rsidR="00D94DB3" w:rsidRPr="006869CB" w:rsidRDefault="00D94DB3" w:rsidP="00932105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Българска академия на науките (БАН) – в рамките на процедура BG-RRP-4.022 „Повишаване на енергийната ефективност в публични сгради на Българска академия на науките“.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Оценката на предложенията за изпълнение на инвестиции (ПИИ) по процедура чрез директно предоставяне на средства BG-RRP-4.022 „Повишаване на енергийната ефективност в публични сгради на Българска академия на науките“ с конкретен краен получател БАН е приключена, като с решение на Ръководителя на Структурата за наблюдение и докладване са одобрени 12 проекта. В периода м. ноември - м. декември 2023 г. са сключени 12 договора за финансиране на одобрените проекти на обща стойност на средствата от МВУ – 35,9 млн. лв.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Финализирана е оценката на ПИИ по процедура чрез подбор BG-RRP-4.020 „Подкрепа за устойчиво енергийно обновяване на публичен сграден фонд за административно обслужване, култура и спорт“ с общ бюджет 408,4 млн. лв. По процедурата са одобрени  291 предложения за изпълнение на инвестиции на територията на цялата страна (от тях за 6 предложения, кандидатите са се отказали от сключване на договор). От тях 139 предложения за административни сгради, 111 предложения за сгради за култура и 41 предложения за сгради за спорт, на обща стойност от над 408 млн. лв. от Механизма за възстановяване и устойчивост. Към настоящия момент са сключени 283 договора на стойност 454,8 млн. лв., от които 390,2 млн. лв. - средствата, отпуснати по Плана за възстановяване от Механизма за възстановяване и устойчивост и 64,1 млн. лв. - съфинансиране от страна на кандидатите. Остава да бъде сключен още 1 договор. Останалите кандидати са се отказали от сключване на договор.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К</w:t>
      </w:r>
      <w:r w:rsidR="0047668C" w:rsidRPr="006869CB">
        <w:rPr>
          <w:rFonts w:ascii="Times New Roman" w:eastAsia="Times New Roman" w:hAnsi="Times New Roman" w:cs="Times New Roman"/>
          <w:lang w:eastAsia="bg-BG"/>
        </w:rPr>
        <w:t>омпонент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2 - </w:t>
      </w:r>
      <w:r w:rsidR="0047668C" w:rsidRPr="006869CB">
        <w:rPr>
          <w:rFonts w:ascii="Times New Roman" w:eastAsia="Times New Roman" w:hAnsi="Times New Roman" w:cs="Times New Roman"/>
          <w:lang w:eastAsia="bg-BG"/>
        </w:rPr>
        <w:t>Сгради в сферата на производството, търговията и услугите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Финансиране на мерки за устойчиво енергийно ефективно обновяване на сгради в сферата на производството, търговията и услугите. Допустими кандидати по Компонент 2 са </w:t>
      </w:r>
      <w:proofErr w:type="spellStart"/>
      <w:r w:rsidRPr="006869CB">
        <w:rPr>
          <w:rFonts w:ascii="Times New Roman" w:eastAsia="Times New Roman" w:hAnsi="Times New Roman" w:cs="Times New Roman"/>
          <w:lang w:eastAsia="bg-BG"/>
        </w:rPr>
        <w:t>микро</w:t>
      </w:r>
      <w:proofErr w:type="spellEnd"/>
      <w:r w:rsidRPr="006869CB">
        <w:rPr>
          <w:rFonts w:ascii="Times New Roman" w:eastAsia="Times New Roman" w:hAnsi="Times New Roman" w:cs="Times New Roman"/>
          <w:lang w:eastAsia="bg-BG"/>
        </w:rPr>
        <w:t>/малки, средни и големи предприятия на територията на цялата страна.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Първоначалният максимален размер на бюджета на Компонент 2, в размер на 235,2 млн. лв. без ДДС е определен на 150,2 млн. лв. без ДДС, съгласно Допълнително споразумение № 1 към Оперативно споразумение № СПОР-18 от 16.02.2023 г. между Министерство на финансите и Министерство на регионалното развитие и благоустройството. Финализирана е оценката на ПИИ по процедура чрез подбор BG-RRP-4.021 „Подкрепа за енергийно обновяване на сгради в сферата на производството, търговията и услугите“. По процедурата са подадени 413 проекти предложения, одобрени са 318 предложения, 38 предложения са отхвърлени, а 57 проектни предложения са оттеглени от кандидатите. Общата стойност на одобрените предложения за изпълнение на инвестиции е 203,2 млн. лева, от които 113,2 млн. лв. – средства от Плана за възстановяване и устойчивост и 122,8 млн. лв. – средства от кандидатите. Към настоящия момент се извършва проверка за определяне на категорията предприятие на одобрените кандидати, както и проверка дали одобрените кандидати отговарят на условията за краен получател, като са сключени 81 договора на стойност 49,1 млн. лв., от които 23,6 лв. - средства, отпуснати от Механизма за възстановяване и устойчивост и 25,6 млн. лв. - съфинансиране от страна на кандидатите. Предстои да бъдат сключени още 237 договора с одобрените кандидати, отговарящи на условията за краен получател. Останалите кандидати са се отказали от сключване на договор.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Максималният индикативен срок за изпълнение на проекти по Компонент 1 е 30 месеца, а по компонент 2 – 24 месеца, но не по-късно от 30.06.2026 г.</w:t>
      </w:r>
    </w:p>
    <w:p w:rsidR="00D94DB3" w:rsidRPr="006869CB" w:rsidRDefault="0047668C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Компонент 3 – Организация и управление на програмата и мерки за публичност и видимост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По компонента е предвиден ресурс в размер на 12,1 млн. лв. без ДДС. Ще се подкрепят дейности за организация, управление, оценка, контрол, мониторинг проектите, както и дейности за публичност и видимост на програмата и проектите – информационни кампании с цел популяризиране на постигнатите резултати от изпълнението на мерките за устойчиво енергийно обновяване.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6869CB">
        <w:rPr>
          <w:rFonts w:ascii="Times New Roman" w:eastAsia="Times New Roman" w:hAnsi="Times New Roman" w:cs="Times New Roman"/>
          <w:b/>
          <w:i/>
          <w:lang w:eastAsia="bg-BG"/>
        </w:rPr>
        <w:t>Проект 25 „Екологосъобразна мобилност“ - пилотна схема за подкрепа на устойчивата градска мобилност</w:t>
      </w:r>
      <w:r w:rsidR="0047668C" w:rsidRPr="006869CB">
        <w:rPr>
          <w:rFonts w:ascii="Times New Roman" w:eastAsia="Times New Roman" w:hAnsi="Times New Roman" w:cs="Times New Roman"/>
          <w:b/>
          <w:i/>
          <w:lang w:eastAsia="bg-BG"/>
        </w:rPr>
        <w:t>,</w:t>
      </w:r>
      <w:r w:rsidRPr="006869CB">
        <w:rPr>
          <w:rFonts w:ascii="Times New Roman" w:eastAsia="Times New Roman" w:hAnsi="Times New Roman" w:cs="Times New Roman"/>
          <w:b/>
          <w:i/>
          <w:lang w:eastAsia="bg-BG"/>
        </w:rPr>
        <w:t xml:space="preserve"> чрез мерки за развитие на екологични, безопасни, функционални и енергийно ефективни транспортни системи“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Целта на проекта е да подпомогне растежа на градовете и тяхната устойчивост, чрез изпълнение на интегрирани мерки за устойчива градска мобилност. Проектът се осъществи под формата на пилотна схема в подкрепа на реформата за устойчива градска мобилност, както и да се насърчи сформирането на партньорства, като по този начин ще се улесни подготовката и изпълнението на сходни проекти, които да бъдат финансирани със средства от Програма „Развитие на регионите“ 2021-2027 г. В рамките на пилотния проект е предвидено да бъдат доставени 68 бр. превозни средства (автобуси и/или тролейбуси) за градския </w:t>
      </w:r>
      <w:r w:rsidRPr="006869CB">
        <w:rPr>
          <w:rFonts w:ascii="Times New Roman" w:eastAsia="Times New Roman" w:hAnsi="Times New Roman" w:cs="Times New Roman"/>
          <w:lang w:eastAsia="bg-BG"/>
        </w:rPr>
        <w:lastRenderedPageBreak/>
        <w:t xml:space="preserve">и междуселищния обществен транспорт с нулеви емисии, изградени зарядни станции за тях, както и разработването на ИТС и интегрирани цифрови решения за подобряване на ефикасността и ефективността на обществения транспорт и изпълнени мерки за развитие на пешеходната и велосипедната инфраструктура. </w:t>
      </w:r>
    </w:p>
    <w:p w:rsidR="00D94DB3" w:rsidRPr="006869CB" w:rsidRDefault="00D94DB3" w:rsidP="00C9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Финансовият ресурс за схемата е 100 млн. лв., от които 97 млн. лв. са европейско финансиране (безвъзмездна помощ) по Механизма за възстановяване и устойчивост и 3 млн. лв. са средства от националния бюджет за покриване на невъзстановим за бенефициентите ДДС.</w:t>
      </w:r>
      <w:r w:rsidR="00C94252" w:rsidRPr="006869CB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6869CB">
        <w:rPr>
          <w:rFonts w:ascii="Times New Roman" w:eastAsia="Times New Roman" w:hAnsi="Times New Roman" w:cs="Times New Roman"/>
          <w:lang w:eastAsia="bg-BG"/>
        </w:rPr>
        <w:t>Допустими бенефициенти в рамките на пилотната схема са партньорства на градски общини и оператори на обществения транспорт (вкл</w:t>
      </w:r>
      <w:r w:rsidR="00C94252" w:rsidRPr="006869CB">
        <w:rPr>
          <w:rFonts w:ascii="Times New Roman" w:eastAsia="Times New Roman" w:hAnsi="Times New Roman" w:cs="Times New Roman"/>
          <w:lang w:eastAsia="bg-BG"/>
        </w:rPr>
        <w:t>.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междуселищен), действащи на съответната територия, като максималният индикативен срок за изпълнение на проекти е 24 месеца, но не по-късно от 30.06.2026 г. На 04.01.2024 г. е одобрен оценителният доклад от работата на оценителната комисия по процедура BG-RRP-8.013 „Екологосъобразна мобилност“. В периода м. април – м. май 2024 г. са сключени 15 договора за предоставяне на средства на крайни получатели от Механизма за възстановяване и устойчивост на обща стойност 126,2 млн. лв., от които 98,4 млн. лв. от Плана за възстановяване и 27,8 млн. лв. – собствено финансиране от кандидатите.</w:t>
      </w:r>
    </w:p>
    <w:p w:rsidR="00884553" w:rsidRPr="006869CB" w:rsidRDefault="00884553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Национална програма за енергийна ефективност на многофамилни жилищни сгради</w:t>
      </w:r>
      <w:r w:rsidRPr="006869CB">
        <w:rPr>
          <w:rFonts w:ascii="Times New Roman" w:hAnsi="Times New Roman" w:cs="Times New Roman"/>
        </w:rPr>
        <w:t xml:space="preserve"> (Приета с ПМС № 18/2015 г.). Програмата се финансира със средства от държавния бюджет на Република България и представлява 100% безвъзмездна финансова помощ за собствениците в жилищните сгради за изпълнение на мерки за подобряване на енергийната ефективност на сградите. След изпълнение на енергоспестяващи мерки сградите постигат клас „С“ на ЕЕ. Програмата е в заключителен етап на изпълнение.</w:t>
      </w:r>
    </w:p>
    <w:p w:rsidR="00884553" w:rsidRPr="006869CB" w:rsidRDefault="00884553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869CB">
        <w:rPr>
          <w:rFonts w:ascii="Times New Roman" w:hAnsi="Times New Roman" w:cs="Times New Roman"/>
          <w:b/>
          <w:i/>
        </w:rPr>
        <w:t>Подмярка</w:t>
      </w:r>
      <w:proofErr w:type="spellEnd"/>
      <w:r w:rsidRPr="006869CB">
        <w:rPr>
          <w:rFonts w:ascii="Times New Roman" w:hAnsi="Times New Roman" w:cs="Times New Roman"/>
          <w:b/>
          <w:i/>
        </w:rPr>
        <w:t xml:space="preserve"> „Подкрепа за устойчиво енергийно обновяване на жилищния сграден фонд“ </w:t>
      </w:r>
      <w:r w:rsidRPr="006869CB">
        <w:rPr>
          <w:rFonts w:ascii="Times New Roman" w:hAnsi="Times New Roman" w:cs="Times New Roman"/>
        </w:rPr>
        <w:t>Компонент 4: „Нисковъглеродна икономика“ финансирана по НПВУ в рамките на Структурата за наблюдение и докладване. Изпълнението на процедурата стартира 2023 г. и се предвижда изпълнение в два етапа: Етап I – предоставяне на 100% безвъзмездно финансиране със средства от ЕС и държавния бюджет на Р България за изпълнение на енергоспестяващи мерки; Етап II – предоставяне на 80% безвъзмездно финансиране, при осигуряване на самофинансиране от собствениците в жилищната сграда на 20% собствен принос в общата стойност на допустимите разходи за обновяване на сградите. След изпълнение на енергоспестяващи мерки сградите постигат клас „В“ на ЕЕ. Етапът на изпълнение на процедурата е сключване на договори за предоставяне на БФП.</w:t>
      </w:r>
    </w:p>
    <w:p w:rsidR="00230093" w:rsidRPr="006869CB" w:rsidRDefault="00230093" w:rsidP="0047668C">
      <w:pPr>
        <w:pStyle w:val="ListParagraph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</w:t>
      </w:r>
      <w:r w:rsidR="00091C5B" w:rsidRPr="006869CB">
        <w:rPr>
          <w:rFonts w:ascii="Times New Roman" w:hAnsi="Times New Roman" w:cs="Times New Roman"/>
          <w:b/>
          <w:i/>
          <w:color w:val="0000CC"/>
        </w:rPr>
        <w:t xml:space="preserve"> (попълва се за всяка област на политика)</w:t>
      </w:r>
    </w:p>
    <w:p w:rsidR="009A1627" w:rsidRPr="006869CB" w:rsidRDefault="009A1627" w:rsidP="0047668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6869CB">
        <w:rPr>
          <w:rFonts w:ascii="Times New Roman" w:hAnsi="Times New Roman" w:cs="Times New Roman"/>
          <w:b/>
          <w:bCs/>
          <w:sz w:val="16"/>
          <w:szCs w:val="16"/>
        </w:rPr>
        <w:t>КЛЮЧОВИ ИНДИКАТОРИ ЗА ИЗПЪЛНЕНИЕ И ЦЕЛЕВИ СТОЙНОСТИ</w:t>
      </w:r>
    </w:p>
    <w:tbl>
      <w:tblPr>
        <w:tblStyle w:val="TableGrid"/>
        <w:tblW w:w="1012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13"/>
        <w:gridCol w:w="917"/>
        <w:gridCol w:w="962"/>
        <w:gridCol w:w="913"/>
        <w:gridCol w:w="873"/>
        <w:gridCol w:w="910"/>
      </w:tblGrid>
      <w:tr w:rsidR="008E71C6" w:rsidRPr="006869CB" w:rsidTr="007A5427">
        <w:trPr>
          <w:trHeight w:val="422"/>
        </w:trPr>
        <w:tc>
          <w:tcPr>
            <w:tcW w:w="4536" w:type="dxa"/>
          </w:tcPr>
          <w:p w:rsidR="008E71C6" w:rsidRPr="006869CB" w:rsidRDefault="008E71C6" w:rsidP="00FE338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Област на политика:</w:t>
            </w:r>
          </w:p>
          <w:p w:rsidR="008E71C6" w:rsidRPr="006869CB" w:rsidRDefault="008E71C6" w:rsidP="00FE338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Политика за интегрирано развитие на регионите за постигане на растеж и подобряване качеството на жизнената среда</w:t>
            </w:r>
          </w:p>
        </w:tc>
        <w:tc>
          <w:tcPr>
            <w:tcW w:w="1013" w:type="dxa"/>
            <w:vMerge w:val="restart"/>
            <w:shd w:val="clear" w:color="auto" w:fill="F2F2F2" w:themeFill="background1" w:themeFillShade="F2"/>
          </w:tcPr>
          <w:p w:rsidR="008E71C6" w:rsidRPr="006869CB" w:rsidRDefault="008E71C6" w:rsidP="00F32A7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71C6" w:rsidRPr="006869CB" w:rsidRDefault="008E71C6" w:rsidP="00F32A7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6D65CC" w:rsidRPr="006869CB" w:rsidTr="007A5427">
        <w:trPr>
          <w:trHeight w:val="432"/>
        </w:trPr>
        <w:tc>
          <w:tcPr>
            <w:tcW w:w="4536" w:type="dxa"/>
            <w:tcBorders>
              <w:bottom w:val="single" w:sz="4" w:space="0" w:color="auto"/>
            </w:tcBorders>
          </w:tcPr>
          <w:p w:rsidR="006D65CC" w:rsidRPr="006869CB" w:rsidRDefault="006D65CC" w:rsidP="00F73FA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на индикатора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Проект</w:t>
            </w:r>
          </w:p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г.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г.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г.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6D65CC" w:rsidRPr="006869CB" w:rsidRDefault="006D65CC" w:rsidP="00F73F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г.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2029 г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.</w:t>
            </w:r>
            <w:r w:rsidR="00E7648F" w:rsidRPr="006869CB"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footnoteReference w:id="1"/>
            </w:r>
          </w:p>
        </w:tc>
      </w:tr>
      <w:tr w:rsidR="006D65CC" w:rsidRPr="006869CB" w:rsidTr="007A5427"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6D65CC" w:rsidRPr="006869CB" w:rsidRDefault="0051447D" w:rsidP="006D65C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D65CC" w:rsidRPr="006869CB">
              <w:rPr>
                <w:rFonts w:ascii="Times New Roman" w:hAnsi="Times New Roman" w:cs="Times New Roman"/>
                <w:sz w:val="16"/>
                <w:szCs w:val="16"/>
              </w:rPr>
              <w:t>Изпълнение на Пътна карта за реализиране на регионалната политика с цел създаване на условия за балансирано териториално развитие с изпълнение до 2025 г. при прилагане на разпоредбите на Закона за регионалното развитие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  <w:vAlign w:val="center"/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  <w:vAlign w:val="center"/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bottom w:val="nil"/>
            </w:tcBorders>
            <w:vAlign w:val="center"/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  <w:vAlign w:val="center"/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5CC" w:rsidRPr="006869CB" w:rsidTr="007A5427">
        <w:trPr>
          <w:trHeight w:val="290"/>
        </w:trPr>
        <w:tc>
          <w:tcPr>
            <w:tcW w:w="4536" w:type="dxa"/>
            <w:tcBorders>
              <w:top w:val="nil"/>
              <w:bottom w:val="nil"/>
            </w:tcBorders>
          </w:tcPr>
          <w:p w:rsidR="006D65CC" w:rsidRPr="006869CB" w:rsidRDefault="006D65CC" w:rsidP="006D65C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86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Намаляване на дела на мигриралото население (вътрешна миграция)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2,1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2,1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2,1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6D65CC" w:rsidRPr="006869CB" w:rsidRDefault="006D65CC" w:rsidP="00133A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5CC" w:rsidRPr="006869CB" w:rsidTr="007A5427">
        <w:trPr>
          <w:trHeight w:val="2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51447D" w:rsidP="006D65C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6D65CC" w:rsidRPr="006869CB">
              <w:rPr>
                <w:rFonts w:ascii="Times New Roman" w:hAnsi="Times New Roman" w:cs="Times New Roman"/>
                <w:sz w:val="16"/>
                <w:szCs w:val="16"/>
              </w:rPr>
              <w:t>Разработване и приемане на Национална жилищна стратегия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D65CC" w:rsidRPr="006869CB" w:rsidRDefault="006D65CC" w:rsidP="00ED3F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ED3F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ED3F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ED3F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ED3F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5CC" w:rsidRPr="006869CB" w:rsidTr="007A5427">
        <w:trPr>
          <w:trHeight w:val="1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4. Брой подкрепени културни обекти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брой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F95C1F">
            <w:pPr>
              <w:ind w:left="-354" w:firstLine="35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</w:tr>
      <w:tr w:rsidR="006D65CC" w:rsidRPr="006869CB" w:rsidTr="007A5427">
        <w:trPr>
          <w:trHeight w:val="1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51447D">
            <w:pPr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1447D" w:rsidRPr="006869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Население, ползващо се от мерки за защита от пожари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брой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314 500</w:t>
            </w:r>
          </w:p>
        </w:tc>
      </w:tr>
      <w:tr w:rsidR="006D65CC" w:rsidRPr="006869CB" w:rsidTr="007A5427">
        <w:trPr>
          <w:trHeight w:val="22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BF6E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1447D" w:rsidRPr="006869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Подкрепена специализирана велосипедна инфраструктура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километри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</w:tr>
      <w:tr w:rsidR="006D65CC" w:rsidRPr="006869CB" w:rsidTr="00743A97">
        <w:trPr>
          <w:trHeight w:val="2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BF6E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1447D" w:rsidRPr="006869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 xml:space="preserve">Изграден гранично контролно пропускателен пункт (ГКПП) </w:t>
            </w:r>
          </w:p>
        </w:tc>
        <w:tc>
          <w:tcPr>
            <w:tcW w:w="1013" w:type="dxa"/>
            <w:tcBorders>
              <w:top w:val="nil"/>
            </w:tcBorders>
          </w:tcPr>
          <w:p w:rsidR="006D65CC" w:rsidRPr="006869CB" w:rsidDel="00156C4D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брой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6D65CC" w:rsidRPr="006869CB" w:rsidTr="007A5427">
        <w:trPr>
          <w:trHeight w:val="1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BF6E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1447D" w:rsidRPr="006869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Подкрепени с безвъзмездна финансова помощ МСП</w:t>
            </w:r>
          </w:p>
        </w:tc>
        <w:tc>
          <w:tcPr>
            <w:tcW w:w="1013" w:type="dxa"/>
          </w:tcPr>
          <w:p w:rsidR="006D65CC" w:rsidRPr="006869CB" w:rsidDel="00156C4D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брой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74</w:t>
            </w:r>
          </w:p>
        </w:tc>
      </w:tr>
      <w:tr w:rsidR="00BF6E44" w:rsidRPr="006869CB" w:rsidTr="007A5427">
        <w:trPr>
          <w:trHeight w:val="22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F6E44" w:rsidRPr="006869CB" w:rsidRDefault="0051447D" w:rsidP="00BF6E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BF6E44" w:rsidRPr="006869CB">
              <w:rPr>
                <w:rFonts w:ascii="Times New Roman" w:hAnsi="Times New Roman" w:cs="Times New Roman"/>
                <w:sz w:val="16"/>
                <w:szCs w:val="16"/>
              </w:rPr>
              <w:t xml:space="preserve">Нарастване потенциала на АТЕ за ефективно и ефикасно планиране, управление и използване на ресурсите за устойчиво местно развитие </w:t>
            </w:r>
          </w:p>
          <w:p w:rsidR="00BF6E44" w:rsidRPr="006869CB" w:rsidRDefault="00BF6E44" w:rsidP="00BF6E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(нарастване дела на общините, отчитащи резултати над средните за страната по показатели за финансова самостоятелност и инвестиционна активност)</w:t>
            </w:r>
          </w:p>
        </w:tc>
        <w:tc>
          <w:tcPr>
            <w:tcW w:w="1013" w:type="dxa"/>
            <w:vAlign w:val="center"/>
          </w:tcPr>
          <w:p w:rsidR="00BF6E44" w:rsidRPr="006869CB" w:rsidRDefault="00BF6E44" w:rsidP="00BF6E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E44" w:rsidRPr="006869CB" w:rsidRDefault="00BF6E44" w:rsidP="00BF6E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1,3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E44" w:rsidRPr="006869CB" w:rsidRDefault="00BF6E44" w:rsidP="00BF6E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E44" w:rsidRPr="006869CB" w:rsidRDefault="00BF6E44" w:rsidP="00BF6E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E44" w:rsidRPr="006869CB" w:rsidRDefault="00BF6E44" w:rsidP="00BF6E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1,6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E44" w:rsidRPr="006869CB" w:rsidRDefault="00BF6E44" w:rsidP="00BF6E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65CC" w:rsidRPr="006869CB" w:rsidTr="007A5427">
        <w:trPr>
          <w:trHeight w:val="22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65CC" w:rsidRPr="006869CB" w:rsidRDefault="006D65CC" w:rsidP="006D65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869CB">
        <w:rPr>
          <w:rFonts w:ascii="Times New Roman" w:eastAsia="Calibri" w:hAnsi="Times New Roman" w:cs="Times New Roman"/>
        </w:rPr>
        <w:t>МРРБ е определено за водещо ведомство по разработването и изпълнението на  Приоритет 9 „Местно развитие“ от Националната програма за развитие: БЪЛГАРИЯ 2030</w:t>
      </w:r>
      <w:r w:rsidRPr="006869CB">
        <w:rPr>
          <w:rFonts w:ascii="Times New Roman" w:eastAsia="Calibri" w:hAnsi="Times New Roman" w:cs="Times New Roman"/>
          <w:lang w:val="en-US"/>
        </w:rPr>
        <w:t>)</w:t>
      </w:r>
      <w:r w:rsidRPr="006869CB">
        <w:rPr>
          <w:rFonts w:ascii="Times New Roman" w:eastAsia="Calibri" w:hAnsi="Times New Roman" w:cs="Times New Roman"/>
        </w:rPr>
        <w:t xml:space="preserve">, съгласно приложение №2 на Решение № 33 на Министерския съвет от 20.01.2020 г. Ключовите индикатори и целеви стойности, които се изпълняват в областта на политиката отговарят на целта на приоритета, а именно оползотворяването на </w:t>
      </w:r>
      <w:r w:rsidRPr="006869CB">
        <w:rPr>
          <w:rFonts w:ascii="Times New Roman" w:eastAsia="Calibri" w:hAnsi="Times New Roman" w:cs="Times New Roman"/>
        </w:rPr>
        <w:lastRenderedPageBreak/>
        <w:t>идентифицирания местен потенциал за развитие, както и адресиране на местните проблеми и предизвикателства и не е необходимо да бъдат актуализирани.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  <w:b/>
          <w:i/>
        </w:rPr>
        <w:t>Индикатор „</w:t>
      </w:r>
      <w:r w:rsidRPr="006869CB">
        <w:rPr>
          <w:rFonts w:ascii="Times New Roman" w:hAnsi="Times New Roman" w:cs="Times New Roman"/>
          <w:b/>
          <w:i/>
        </w:rPr>
        <w:t>Изпълнение на Пътна карта за реализиране на регионалната политика с цел създаване на условия за балансирано териториално развитие с изпълнение до 2025 г. при прилагане на разпоредбите на Закона за регионалното развитие“</w:t>
      </w:r>
      <w:r w:rsidRPr="006869CB">
        <w:rPr>
          <w:rFonts w:ascii="Times New Roman" w:hAnsi="Times New Roman" w:cs="Times New Roman"/>
        </w:rPr>
        <w:t xml:space="preserve"> </w:t>
      </w:r>
      <w:r w:rsidRPr="006869CB">
        <w:rPr>
          <w:rFonts w:ascii="Times New Roman" w:eastAsia="Calibri" w:hAnsi="Times New Roman" w:cs="Times New Roman"/>
        </w:rPr>
        <w:t>е свързан с работата на ГД СППРР в областта на стратегическото планиране на регионалното развитие и обхваща всички дейности, които дирекцията извършва в тази сфера.</w:t>
      </w:r>
      <w:r w:rsidRPr="006869CB">
        <w:rPr>
          <w:rFonts w:ascii="Times New Roman" w:eastAsia="Calibri" w:hAnsi="Times New Roman" w:cs="Times New Roman"/>
          <w:lang w:val="en-US"/>
        </w:rPr>
        <w:t xml:space="preserve"> </w:t>
      </w:r>
      <w:r w:rsidRPr="006869CB">
        <w:rPr>
          <w:rFonts w:ascii="Times New Roman" w:eastAsia="Calibri" w:hAnsi="Times New Roman" w:cs="Times New Roman"/>
        </w:rPr>
        <w:t>Заложените дейности за по изпълнението на Пътната  карта за реализиране на регионалната политика с цел създаване на условия за балансирано териториално развитие с изпълнение до 2025 г. при прилагане на разпоредбите на Закона за регионалното развитие</w:t>
      </w:r>
      <w:r w:rsidRPr="006869CB">
        <w:rPr>
          <w:rFonts w:ascii="Times New Roman" w:eastAsia="Calibri" w:hAnsi="Times New Roman" w:cs="Times New Roman"/>
          <w:lang w:val="en-US"/>
        </w:rPr>
        <w:t xml:space="preserve"> </w:t>
      </w:r>
      <w:r w:rsidRPr="006869CB">
        <w:rPr>
          <w:rFonts w:ascii="Times New Roman" w:eastAsia="Calibri" w:hAnsi="Times New Roman" w:cs="Times New Roman"/>
        </w:rPr>
        <w:t>са изпълнени. Предвижда се дейностите да бъдат финализирани през 2025 г., като предстои разработването на нова Пътна карта с хоризонт на изпълнение 2030 г. Индикаторът отчита изпълнението на всички посочени стратегически и оперативни цели, посочени в документа.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  <w:b/>
          <w:i/>
        </w:rPr>
        <w:t>Индикатор „Намаляване на дела на мигриралото население (вътрешна миграция)“</w:t>
      </w:r>
      <w:r w:rsidRPr="006869CB">
        <w:rPr>
          <w:rFonts w:ascii="Times New Roman" w:eastAsia="Calibri" w:hAnsi="Times New Roman" w:cs="Times New Roman"/>
        </w:rPr>
        <w:t xml:space="preserve"> е свързан с изпълнението на ПРР 2021-2027 г. Една от основните цели на ПРР 2021-2027 г. е именно намаляване на вътрешната миграция на населението в България. Целта е делът на мигриралото население между областите в страната и по-конкретно към София и останалите големи градове да намалява, защото чрез проектите по ПРР 2021-2027 се създават условия за задържане на населението в градовете/областите. Същевременно формулировката на </w:t>
      </w:r>
      <w:r w:rsidR="00EF2D67" w:rsidRPr="006869CB">
        <w:rPr>
          <w:rFonts w:ascii="Times New Roman" w:eastAsia="Calibri" w:hAnsi="Times New Roman" w:cs="Times New Roman"/>
        </w:rPr>
        <w:t>индикатора</w:t>
      </w:r>
      <w:r w:rsidRPr="006869CB">
        <w:rPr>
          <w:rFonts w:ascii="Times New Roman" w:eastAsia="Calibri" w:hAnsi="Times New Roman" w:cs="Times New Roman"/>
        </w:rPr>
        <w:t xml:space="preserve"> (дял на мигриралото население – вътрешна миграция от общия брой на населението, а не абсолютната стойност на мигриралото население) преодолява зависимостта между намалението на миграцията и общото намаляване на населението в България. Тъй като върху намалението на вътрешната миграция на населението влияят много фактори, оценката на въздействието на ПРР 2021-2027, предвидена да се проведе през периода 2021-2022 г. ще оцени приноса на програмата за изменението на този индикатор. Също така, през 2021 г. се извърши преброяване на населението в България, което даде по-изчерпателна представа за процесите на миграция в България. Текущите данни за този индикатор са публични и официални от интернет-страницата на НСИ. Към 07.09.2021 г. общия брой на населението на страната е 6 519 789 души, броя на мигриралото население вътре в страната е 395 690 души (изселени), а делът на мигриралото население (вътрешна миграция) е 6,07%. </w:t>
      </w:r>
    </w:p>
    <w:p w:rsidR="00D94DB3" w:rsidRPr="006869CB" w:rsidRDefault="00D94DB3" w:rsidP="0093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Calibri" w:hAnsi="Times New Roman" w:cs="Times New Roman"/>
        </w:rPr>
        <w:t xml:space="preserve">Индикаторите отчитат изпълнението на </w:t>
      </w:r>
      <w:r w:rsidR="0047668C" w:rsidRPr="006869CB">
        <w:rPr>
          <w:rFonts w:ascii="Times New Roman" w:eastAsia="Calibri" w:hAnsi="Times New Roman" w:cs="Times New Roman"/>
        </w:rPr>
        <w:t>следните</w:t>
      </w:r>
      <w:r w:rsidRPr="006869CB">
        <w:rPr>
          <w:rFonts w:ascii="Times New Roman" w:eastAsia="Calibri" w:hAnsi="Times New Roman" w:cs="Times New Roman"/>
        </w:rPr>
        <w:t xml:space="preserve"> с</w:t>
      </w:r>
      <w:r w:rsidR="0047668C" w:rsidRPr="006869CB">
        <w:rPr>
          <w:rFonts w:ascii="Times New Roman" w:eastAsia="Calibri" w:hAnsi="Times New Roman" w:cs="Times New Roman"/>
        </w:rPr>
        <w:t>тратегически и оперативни цели</w:t>
      </w:r>
    </w:p>
    <w:p w:rsidR="0047668C" w:rsidRPr="006869CB" w:rsidRDefault="0047668C" w:rsidP="009321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6869CB">
        <w:rPr>
          <w:rFonts w:ascii="Times New Roman" w:eastAsia="Calibri" w:hAnsi="Times New Roman" w:cs="Times New Roman"/>
          <w:i/>
        </w:rPr>
        <w:t>Стратегически цели</w:t>
      </w:r>
    </w:p>
    <w:p w:rsidR="0047668C" w:rsidRPr="006869CB" w:rsidRDefault="0047668C" w:rsidP="00932105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планиране, наблюдение и оценка, партньорство, ефективно и ефикасно управление на ресурсите;</w:t>
      </w:r>
    </w:p>
    <w:p w:rsidR="0047668C" w:rsidRPr="006869CB" w:rsidRDefault="0047668C" w:rsidP="00932105">
      <w:pPr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Икономическо сближаване в европейски, национален и вътрешнорегионален план, чрез развитие на собствения потенциал на регионите и опазване на околната среда;</w:t>
      </w:r>
    </w:p>
    <w:p w:rsidR="0047668C" w:rsidRPr="006869CB" w:rsidRDefault="0047668C" w:rsidP="00932105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Социално сближаване и намаляване на регионалните диспропорции в социалната сфера, чрез създаване на условия за развитие и реализация на човешкия капитал;</w:t>
      </w:r>
    </w:p>
    <w:p w:rsidR="0047668C" w:rsidRPr="006869CB" w:rsidRDefault="0047668C" w:rsidP="00932105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Балансирано териториално развитие, чрез укрепване на мрежата от градове-центрове, подобряване свързаността в регионите и качеството на средата в населените места; </w:t>
      </w:r>
    </w:p>
    <w:p w:rsidR="0047668C" w:rsidRPr="006869CB" w:rsidRDefault="0047668C" w:rsidP="00932105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Предоставяне на възможност на регионите и хората да се справят със социалните,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споразумение.</w:t>
      </w:r>
    </w:p>
    <w:p w:rsidR="0047668C" w:rsidRPr="006869CB" w:rsidRDefault="0047668C" w:rsidP="0093210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869CB">
        <w:rPr>
          <w:rFonts w:ascii="Times New Roman" w:eastAsia="Calibri" w:hAnsi="Times New Roman" w:cs="Times New Roman"/>
          <w:i/>
        </w:rPr>
        <w:t>Оперативни цели</w:t>
      </w:r>
    </w:p>
    <w:p w:rsidR="0047668C" w:rsidRPr="006869CB" w:rsidRDefault="0047668C" w:rsidP="00932105">
      <w:pPr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>Създаване на стратегическа планова и нормативна база за намаляване на междурегионалните и вътрешнорегионалните различия в нивата на икономическо, социално и териториално развитие на районите и доближаване до средните нива в ЕС;</w:t>
      </w:r>
    </w:p>
    <w:p w:rsidR="0047668C" w:rsidRPr="006869CB" w:rsidRDefault="0047668C" w:rsidP="00932105">
      <w:pPr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>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страната;</w:t>
      </w:r>
    </w:p>
    <w:p w:rsidR="0047668C" w:rsidRPr="006869CB" w:rsidRDefault="0047668C" w:rsidP="00932105">
      <w:pPr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>Повишаване на качеството на живот, социално включване, и подобряване на  екологичната среда, чрез благоустрояване на физическата среда в градовете;</w:t>
      </w:r>
    </w:p>
    <w:p w:rsidR="0047668C" w:rsidRPr="006869CB" w:rsidRDefault="0047668C" w:rsidP="00932105">
      <w:pPr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>Ефективно управление и изпълнение на Оперативна програма „Региони в растеж“ 2014-2020 г. и Програма „Развитие на регионите“ 2021-2027 г.  в подкрепа на поставените стратегически цели за реализация на държавната политика за регионално развитие.</w:t>
      </w:r>
    </w:p>
    <w:p w:rsidR="0047668C" w:rsidRPr="006869CB" w:rsidRDefault="0047668C" w:rsidP="00932105">
      <w:pPr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lastRenderedPageBreak/>
        <w:t>Укрепване на сътрудничеството и комуникацията с партньорите от ЕС и с другите заинтересовани страни, гарантиране на прозрачност в работата и преодоляване на корупционните практики;</w:t>
      </w:r>
    </w:p>
    <w:p w:rsidR="00110B7B" w:rsidRPr="006869CB" w:rsidRDefault="0047668C" w:rsidP="00932105">
      <w:pPr>
        <w:pStyle w:val="ListParagraph"/>
        <w:numPr>
          <w:ilvl w:val="0"/>
          <w:numId w:val="7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 xml:space="preserve">Подкрепа на въглищните региони за плавен преход към неутрална по отношение на климата икономика чрез инвестиции във ВЕИ, внедряване на технологии в системи и инфраструктури за чиста енергия, съхранение на енергия, повишаване на квалификацията и уменията на работната сила, диверсификация на регионалната икономика и др. </w:t>
      </w:r>
    </w:p>
    <w:p w:rsidR="008A73F6" w:rsidRPr="006869CB" w:rsidRDefault="008A73F6" w:rsidP="00932105">
      <w:pPr>
        <w:pStyle w:val="ListParagraph"/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Times New Roman" w:hAnsi="Times New Roman" w:cs="Arial"/>
          <w:lang w:eastAsia="bg-BG"/>
        </w:rPr>
      </w:pPr>
      <w:r w:rsidRPr="006869CB">
        <w:rPr>
          <w:rFonts w:ascii="Times New Roman" w:eastAsia="Times New Roman" w:hAnsi="Times New Roman" w:cs="Arial"/>
          <w:b/>
          <w:i/>
          <w:lang w:eastAsia="bg-BG"/>
        </w:rPr>
        <w:t>Индикатор „Разработване и приемане на Национална жилищна стратегия“</w:t>
      </w:r>
      <w:r w:rsidRPr="006869CB">
        <w:rPr>
          <w:rFonts w:ascii="Times New Roman" w:eastAsia="Times New Roman" w:hAnsi="Times New Roman" w:cs="Arial"/>
          <w:lang w:eastAsia="bg-BG"/>
        </w:rPr>
        <w:t xml:space="preserve"> изпълнява следните стратегически цели:</w:t>
      </w:r>
    </w:p>
    <w:p w:rsidR="008A73F6" w:rsidRPr="006869CB" w:rsidRDefault="008A73F6" w:rsidP="00932105">
      <w:pPr>
        <w:pStyle w:val="ListParagraph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eastAsia="Times New Roman" w:hAnsi="Times New Roman" w:cs="Arial"/>
          <w:lang w:val="en-US"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>Обновяване на многофамилни жилищни сгради чрез изпълнение на мерки за енергийна ефективност за осигуряване на по-добри условия на живот и по-високо качество на жизнената среда;</w:t>
      </w:r>
    </w:p>
    <w:p w:rsidR="008A73F6" w:rsidRPr="006869CB" w:rsidRDefault="008A73F6" w:rsidP="00932105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lang w:val="en-US" w:eastAsia="bg-BG"/>
        </w:rPr>
      </w:pPr>
      <w:r w:rsidRPr="006869CB">
        <w:rPr>
          <w:rFonts w:ascii="Times New Roman" w:eastAsia="Times New Roman" w:hAnsi="Times New Roman" w:cs="Arial"/>
          <w:lang w:eastAsia="bg-BG"/>
        </w:rPr>
        <w:t>Разработване на нов работещ модел на българската жилищна система, в който да бъде намерено трайно решение на основните ѝ проблеми.</w:t>
      </w:r>
    </w:p>
    <w:p w:rsidR="00567E64" w:rsidRPr="006869CB" w:rsidRDefault="00567E64" w:rsidP="00AA38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 xml:space="preserve">Индикатор „Нарастване потенциала на АТЕ за ефективно и ефикасно планиране, управление и използване на ресурсите за устойчиво местно развитие“ </w:t>
      </w:r>
      <w:r w:rsidRPr="006869CB">
        <w:rPr>
          <w:rFonts w:ascii="Times New Roman" w:hAnsi="Times New Roman" w:cs="Times New Roman"/>
        </w:rPr>
        <w:t>измерва стратегическа цел „Създаване на съвременна нормативна база, подобрена междуинституционална координация и сътрудничество със заинтересованите страни,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управление, децентрализацията и развитието на местното самоуправление и местната демокрация“.</w:t>
      </w:r>
    </w:p>
    <w:p w:rsidR="00AA387D" w:rsidRPr="006869CB" w:rsidRDefault="00AA387D" w:rsidP="00AA38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CC"/>
        </w:rPr>
      </w:pPr>
    </w:p>
    <w:p w:rsidR="00110B7B" w:rsidRPr="006869CB" w:rsidRDefault="00110B7B" w:rsidP="00AA38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CC"/>
        </w:rPr>
      </w:pPr>
      <w:r w:rsidRPr="006869CB">
        <w:rPr>
          <w:rFonts w:ascii="Times New Roman" w:eastAsia="Calibri" w:hAnsi="Times New Roman" w:cs="Times New Roman"/>
          <w:b/>
          <w:i/>
          <w:color w:val="0000CC"/>
        </w:rPr>
        <w:t>2100.02.00 ПОЛИТИКА ЗА ПОДОБРЯВАНЕ НА ИНВЕСТИЦИОННИЯ ПРОЦЕС, ПОДДЪРЖАНЕ,</w:t>
      </w:r>
      <w:r w:rsidRPr="006869CB">
        <w:rPr>
          <w:rFonts w:ascii="Times New Roman" w:eastAsia="Calibri" w:hAnsi="Times New Roman" w:cs="Times New Roman"/>
          <w:b/>
          <w:i/>
          <w:color w:val="0000CC"/>
          <w:lang w:val="en-US"/>
        </w:rPr>
        <w:t xml:space="preserve"> </w:t>
      </w:r>
      <w:r w:rsidRPr="006869CB">
        <w:rPr>
          <w:rFonts w:ascii="Times New Roman" w:eastAsia="Calibri" w:hAnsi="Times New Roman" w:cs="Times New Roman"/>
          <w:b/>
          <w:i/>
          <w:color w:val="0000CC"/>
        </w:rPr>
        <w:t>МОДЕРНИЗАЦИЯ И ИЗГРАЖДАНЕ НА ТЕХНИЧЕСКАТА ИНФРАСТРУКТУРА</w:t>
      </w:r>
    </w:p>
    <w:p w:rsidR="00110B7B" w:rsidRPr="006869CB" w:rsidRDefault="00110B7B" w:rsidP="00AA387D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</w:rPr>
        <w:t>Кратко описание на обхвата на областта на политиката, за която ПРБ отговаря</w:t>
      </w:r>
    </w:p>
    <w:p w:rsidR="003A4D7E" w:rsidRPr="006869CB" w:rsidRDefault="003A4D7E" w:rsidP="00AA3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869CB">
        <w:rPr>
          <w:rFonts w:ascii="Times New Roman" w:hAnsi="Times New Roman" w:cs="Times New Roman"/>
          <w:b/>
          <w:i/>
        </w:rPr>
        <w:t>По отношение на Агенция „Пътна инфраструктура“</w:t>
      </w:r>
    </w:p>
    <w:p w:rsidR="00E61311" w:rsidRPr="006869CB" w:rsidRDefault="00E61311" w:rsidP="00AA387D">
      <w:pPr>
        <w:pStyle w:val="ListParagraph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Визията за развитието на </w:t>
      </w:r>
      <w:r w:rsidRPr="006869CB">
        <w:rPr>
          <w:rFonts w:ascii="Times New Roman" w:eastAsia="SimSun" w:hAnsi="Times New Roman" w:cs="Times New Roman"/>
        </w:rPr>
        <w:t>изпълняваната от АПИ политика</w:t>
      </w:r>
      <w:r w:rsidRPr="006869CB">
        <w:rPr>
          <w:rFonts w:ascii="Times New Roman" w:hAnsi="Times New Roman" w:cs="Times New Roman"/>
        </w:rPr>
        <w:t xml:space="preserve"> е тясно обвързана с водещите приоритети, </w:t>
      </w:r>
      <w:r w:rsidRPr="006869CB">
        <w:rPr>
          <w:rFonts w:ascii="Times New Roman" w:eastAsia="SimSun" w:hAnsi="Times New Roman" w:cs="Times New Roman"/>
        </w:rPr>
        <w:t>посочени в регламент (ЕС) №1315/2013 на Европейския парламент и на съвета на от 11 декември 2013 година, относно насоките на Съюза за развитието на трансевропейската пътна мрежа и за отмяна на Решение № 661/2010/ЕС, последно обновен с Делегиран регламент (ЕС) 2019/254 на Комисията от 9 Ноември 2019 г., където са описани и зададени общите срокове и критерии за развитие на основната и широкообхватна (разширената) трансевропейска транспортна мрежа.</w:t>
      </w:r>
    </w:p>
    <w:p w:rsidR="00E61311" w:rsidRPr="006869CB" w:rsidRDefault="00E61311" w:rsidP="00E61311">
      <w:pPr>
        <w:pStyle w:val="ListParagraph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</w:rPr>
      </w:pPr>
      <w:r w:rsidRPr="006869CB">
        <w:rPr>
          <w:rFonts w:ascii="Times New Roman" w:eastAsia="SimSun" w:hAnsi="Times New Roman" w:cs="Times New Roman"/>
        </w:rPr>
        <w:t>Основната цел на изпълняваната от АПИ политика е описана в Национална програма за развитие БЪЛГАРИЯ 2030, приета с протокол №67 на Министерски съвет от 02.12.2020 г., като през периода 2024-2028 г. ще продължи да бъде осигуряването на по-добра свързаност и достъпност между населените места в страната. Усилията за подобряване на съществуващата инфраструктура за автомобилен транспорт ще доведат до подобряване на условията за бизнес и търговия, като същевременно способстват и за постигането на по-високо ниво на безопасност в транспортната система на страната. Приоритетът ще има значителна роля в изпълнението на Цел 3 „Осигуряване на здравословен живот и насърчаване благосъстоянието на всички във всяка възраст“ и Цел 11 „Превръщане на градовете и селищата в приобщаващи, безопасни, адаптивни и устойчиви места за живеене“ от Целите за устойчиво развитие на ООН.</w:t>
      </w:r>
    </w:p>
    <w:p w:rsidR="00E61311" w:rsidRPr="006869CB" w:rsidRDefault="00E61311" w:rsidP="00E61311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Ефективното поддържане, модернизация и развитие на транспортната инфраструктура е приоритет, включващ конкретни цели и мерки за реализирането му.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Усилията за подобряване на качеството на пътната инфраструктура в страната, както и за осигуряването на по-ефективни транспортни услуги и безопасна универсална мобилност, ще бъдат продължени от АПИ. Приоритет ще бъде навременното изграждане на Трансевропейската пътна мрежа, включително доизграждането и поддържането на изградените отсечки. От основно значение ще бъде доизграждането на магистрални пътища по най-важните направления на страната. Досега изградените магистрали се намират основно в южната част на страната, поради което завършването на магистрала „Хемус“ ще има изключително значение за развитието на икономиката на Северна България и целия транспортен сектор</w:t>
      </w:r>
      <w:r w:rsidRPr="006869CB">
        <w:rPr>
          <w:rFonts w:ascii="Times New Roman" w:hAnsi="Times New Roman" w:cs="Times New Roman"/>
          <w:lang w:val="en-US"/>
        </w:rPr>
        <w:t xml:space="preserve">. </w:t>
      </w:r>
      <w:r w:rsidRPr="006869CB">
        <w:rPr>
          <w:rFonts w:ascii="Times New Roman" w:hAnsi="Times New Roman" w:cs="Times New Roman"/>
        </w:rPr>
        <w:t>Интервенции ще бъдат насочени и към подобряване на качеството на пътищата, включително общинските пътища. Ще продължат усилията за подобряване на свързаността с Румъния, чрез изграждането на нови мостови съоръжения над р. Дунав.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Освен към подобряване на качеството на наличната транспортна инфраструктура, АПИ ще продължи работата по внедряване на интелигентни транспортни системи в сектора, както и по въвеждане на цифрово предаване на информация за товарни превози, което ще допринесе за намаляване на административната тежест и подобряване на логистичните операции.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lastRenderedPageBreak/>
        <w:t>От основно значение ще бъде доизграждането на магистрални пътища по най-важните направления на страната. Досега изградените магистрали се намират основно в южната част на страната, поради което завършването на магистрала „Хемус“ ще има изключително значение за развитието на икономиката на Северна България и целия транспортен сектор. В тази връзка продължава изграждането и завършването в цялост по направлението „Видин-Ботевград“, което ще доведе до развитието на икономиката в северозападната част на страната.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Завършването на АМ „Струма“, като част от Ориент/Източно-средиземноморския коридор от основната TEN-T мрежа, предлага най-краткия маршрут за връзка между р. Дунав и Егейско море и има важна роля за връзката между България, Румъния и Гърция.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Не на последно място ще се подобрят условията и предпоставките за повишаване на пътната безопасност и опазване на околната среда. Като част от пътните артерии,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Продължаване на дейностите по доизграждане на АМ „Европа“, което ще доведе до   подобряване на връзката с Република Сърбия и западните части на Балканския полуостров.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- Кюстендил - Дупница, с което ще се осигури комфортна връзка между Трансевропейски транспортен коридор „Ориент/Източно Средиземноморски“ (АМ „Струма“) и границата с Република Северна Македония при ГКПП Гюешево. Пътната отсечка ще обслужва транзитно преминаващия вътрешен и международен тежкотоварен трафик от България към Северна Македония, Албания и Адриатика и ще предостави достъп от Западна Европа към пристанищните градове Варна и Бургас. Скоростната отсечка по направлението „Гюешево – Кюстендил – Дупница“  е алтернативно трасе на път I-6 Граница Северна Македония - о.п. Кюстендил - Перник и път II-62 О.п. Кюстендил - о.п. Дупница - Самоков. В резултат на идейно проектиране, което предстои да бъде възложено, ще бъдат проучени вариантите за възможно трасе. След определянето на целесъобразно трасе от технико-икономическа и екологична гледна точка, ще бъде възложено и извършено същинското техническо проектиране. Реализацията на скоростната отсечка следва да се завърши до 2030 г., с оглед  задълженията на Република  България по европейските регламенти и директиви за транспортна свързаност.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По направление Пловдив -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</w:t>
      </w:r>
      <w:r w:rsidRPr="006869CB">
        <w:rPr>
          <w:rFonts w:ascii="Times New Roman" w:hAnsi="Times New Roman" w:cs="Times New Roman"/>
          <w:lang w:val="en-US"/>
        </w:rPr>
        <w:t>II-</w:t>
      </w:r>
      <w:r w:rsidRPr="006869CB">
        <w:rPr>
          <w:rFonts w:ascii="Times New Roman" w:hAnsi="Times New Roman" w:cs="Times New Roman"/>
        </w:rPr>
        <w:t xml:space="preserve">86 Асеновград – Смолян в три участъка.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Развитие при изграждането по вертикалните направления север-юг: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- Русе-Велико Търново – граница Република Гърция и Турция по направлението на основната Транс-европейска пътна мрежа;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- АМ „Черно море“ - продължаване на дейностите по проектиране и осигуряване на необходимата проектна готовност за стартиране на строителство в участъка Варна-Бургас и паралелен анализ с нейното продължаване в посока транспортна свързаност север с Република Румъния и посока юг с Република Турция. Предвижда се изграждане на ново мостово съоръжение над Варненско – </w:t>
      </w:r>
      <w:proofErr w:type="spellStart"/>
      <w:r w:rsidRPr="006869CB">
        <w:rPr>
          <w:rFonts w:ascii="Times New Roman" w:hAnsi="Times New Roman" w:cs="Times New Roman"/>
        </w:rPr>
        <w:t>Белославското</w:t>
      </w:r>
      <w:proofErr w:type="spellEnd"/>
      <w:r w:rsidRPr="006869CB">
        <w:rPr>
          <w:rFonts w:ascii="Times New Roman" w:hAnsi="Times New Roman" w:cs="Times New Roman"/>
        </w:rPr>
        <w:t xml:space="preserve"> езеро (алтернатива на Аспарухов мост) и тунелно преминаване през Стара планина.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- Подобряване на пресичането през Стара планина по маршрута Монтана – София чрез изграждане на тунел под прохода Петрохан.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Доизграждането на магистралните и скоростни трасета ще допринесе до затваряне на автомагистралния пръстен на Р България,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Ще продължат усилията за подобряване на свързаността с Румъния, чрез изграждането на нови мостови съоръжения над р. Дунав чрез сключване на Спогодба за подобряване транспортната свързаност между двете държави.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Развитие при проектирането и изграждането на обходни/околовръстни пътища в градовете  София, Пазарджик, Пловдив, Плевен, Чепеларе, Провадия, Бургас, Петрич, Плевен, Павликени.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Подобряване на свързаността и достъпността до TEN-T мрежата за товари и пътници чрез мерки, финансирани от фондовете на ЕС, чрез дейности по строителство, реконструкция и основен ремонт на първокласни, второкласни и третокласни пътища (извън Трансевропейската транспортна мрежа), които обслужват вътрешно-регионални връзки и осигуряват възможности за развитие на специфичния икономически потенциал, чрез връзка и достъп до TEN-T мрежата. Също и подобряване на съществуващата </w:t>
      </w:r>
      <w:r w:rsidRPr="006869CB">
        <w:rPr>
          <w:rFonts w:ascii="Times New Roman" w:hAnsi="Times New Roman" w:cs="Times New Roman"/>
        </w:rPr>
        <w:lastRenderedPageBreak/>
        <w:t xml:space="preserve">пътна инфраструктура чрез осигуряване на дейности по основен ремонт и текущо поддържане на републиканската пътна мрежа. 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Освен към подобряване на качеството на наличната транспортна инфраструктура, АПИ ще продължи работата по внедряване на интелигентни транспортни системи в сектора, както и по въвеждане на цифрово предаване на информация за товарни превози, което ще допринесе за намаляване на административната тежест и подобряване на логистичните операции.</w:t>
      </w:r>
    </w:p>
    <w:p w:rsidR="00E61311" w:rsidRPr="006869CB" w:rsidRDefault="00E61311" w:rsidP="00E613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Агенция „Пътна инфраструктура“ изпълнява дейности по подобряване ефективността на въведения модел за таксуване за ползване на републиканската пътна мрежа – чрез въвеждане на смесена система: електронна винетка за леки автомобили и ТОЛ такса за изминато разстояние за тежкотоварните автомобили. В средносрочната прогноза основните дейности за изпълнение на целта са проектиране,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3,5 т. (ТОЛ) и на база  време за леки автомобили с обща технически допустима максимална маса до 3,5 т. (електронна винетка). От 1 януари 2019 г. започна поетапното въвеждане на ТОЛ системата с въвеждането на т.нар. „електронна винетка“ за леките автомобили, а от 01.03.2020 г. се </w:t>
      </w:r>
      <w:proofErr w:type="spellStart"/>
      <w:r w:rsidRPr="006869CB">
        <w:rPr>
          <w:rFonts w:ascii="Times New Roman" w:hAnsi="Times New Roman" w:cs="Times New Roman"/>
        </w:rPr>
        <w:t>тарифират</w:t>
      </w:r>
      <w:proofErr w:type="spellEnd"/>
      <w:r w:rsidRPr="006869CB">
        <w:rPr>
          <w:rFonts w:ascii="Times New Roman" w:hAnsi="Times New Roman" w:cs="Times New Roman"/>
        </w:rPr>
        <w:t xml:space="preserve"> и товарните автомобили над 3.5 т. Развитието на политиката е свързано с дейностите по събиране на пътни такси, при прилагане на принципите „Ползвателят плаща“ и „Замърсителят плаща“. Ключова дейност в процеса е осъществяването на ефективен контрол върху ползвателите на платената пътна мрежа. През 2022 г. е актуализиран размерът на тол таксите и е определен размер за тол такси за пътища II – ри клас. С проекта на постановление на Министерския съвет се цели актуализиране на размера на таксата за изминато разстояние - тол такса за пътни превозни средства по чл. 10б, ал. 3 от ЗП. По този начин ще бъде реализирана целта относно постигане на по-справедливо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„ползвателят/замърсителят плаща“.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Агенция „Пътна инфраструктура“ изпълнява следните цели и мерки: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Въвеждане на по-справедлив модел за таксуване за ползване на републиканската пътна мрежа – чрез въвеждане на смесена система: електронна винетка за леки автомобили и тол такса за изминато разстояние за тежкотоварните автомобили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През 2020 г. </w:t>
      </w:r>
      <w:r w:rsidRPr="006869CB">
        <w:rPr>
          <w:rFonts w:ascii="Times New Roman" w:hAnsi="Times New Roman" w:cs="Times New Roman"/>
          <w:lang w:val="en-US"/>
        </w:rPr>
        <w:t>e</w:t>
      </w:r>
      <w:r w:rsidRPr="006869CB">
        <w:rPr>
          <w:rFonts w:ascii="Times New Roman" w:hAnsi="Times New Roman" w:cs="Times New Roman"/>
        </w:rPr>
        <w:t xml:space="preserve"> </w:t>
      </w:r>
      <w:proofErr w:type="spellStart"/>
      <w:r w:rsidRPr="006869CB">
        <w:rPr>
          <w:rFonts w:ascii="Times New Roman" w:hAnsi="Times New Roman" w:cs="Times New Roman"/>
        </w:rPr>
        <w:t>внедр</w:t>
      </w:r>
      <w:proofErr w:type="spellEnd"/>
      <w:r w:rsidRPr="006869CB">
        <w:rPr>
          <w:rFonts w:ascii="Times New Roman" w:hAnsi="Times New Roman" w:cs="Times New Roman"/>
          <w:lang w:val="en-US"/>
        </w:rPr>
        <w:t>e</w:t>
      </w:r>
      <w:r w:rsidRPr="006869CB">
        <w:rPr>
          <w:rFonts w:ascii="Times New Roman" w:hAnsi="Times New Roman" w:cs="Times New Roman"/>
        </w:rPr>
        <w:t>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3,5 т. (ТОЛ) и на база време за леки автомобили с обща технически допустима максимална маса до 3,5 т. (електронна винетка).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В прогнозата е отразено очаквано нарастване на приходите за трите години във връзка с предприети действия от АПИ за актуализиране на „Тарифа за таксите, които се събират за преминаване и ползване на републиканската пътна мрежа“. С приемането на проекта на Постановление на Министерския съвет са прецизирани текстовете на Тарифата, които уреждат заплащането на таксите по чл. 10, ал. 1 и ал. 2 от Закона за пътищата и ще бъдат актуализирани размерите на таксата на база изминато разстояние (тол такса). 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Актуализирането на размера на таксата за всички пътни превозни средства с обща технически допустима максимална маса над 3,5 тона - такса за изминато разстояние (тол такса), ще окаже икономическо и социално въздействие върху групата заинтересовани страни, които са водачите на пътни превозни средства с обща технически допустима максимална маса над 3,5 тона. Също така ще бъде оказано общо – икономическо въздействие, върху сектор „Транспорт“ и върху различни участници от веригата на добавената стойност.  За МРРБ и АПИ е предвидено увеличаване на приходите от пътни такси. За гражданите и бизнеса увеличаването  на приходите от пътни такси ще доведе до разходване на повече средства за рехабилитация на пътищата и изграждането на нови, което ще увеличи възможността за по – бързо и по – безопасно придвижване по републиканската пътна мрежа.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С извършената промяна на тарифата освен предвиденото увеличаване на събраните приходи, се постига изпълнението и на следните цели: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Цел 1 „Актуализиране на размера на тол таксите и определяне на размер за тол такси за пътища II – ри клас“ -  целта на актуализацията на размера на таксата за изминато разстояние - тол такса за пътни превозни средства по чл. 10б, ал. 3 от ЗП е постигане на по-справедливо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„ползвателят/замърсителят плаща“.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Актуализацията е съобразена с разработените от Световна банка сценарии, като по този начин се доближаваме максимално до таксите на съседните на Република България страни. На следващо място, е </w:t>
      </w:r>
      <w:r w:rsidRPr="006869CB">
        <w:rPr>
          <w:rFonts w:ascii="Times New Roman" w:hAnsi="Times New Roman" w:cs="Times New Roman"/>
        </w:rPr>
        <w:lastRenderedPageBreak/>
        <w:t>уеднаквен подходът към ползвателите на платената пътна мрежа в страната – за движение по второкласната пътна мрежа, включена в обхвата на републиканската пътна мрежа, освен лекотоварните ППС, пътна такса заплащат и тежкотоварните ППС.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Цел 2 „Отпадане на категоризацията на пътните превозни средства по Тарифа за таксите, които се събират за преминаване и ползване на републиканската пътна мрежа“ - с актуализацията отпада категоризацията на пътните превозни средства по Тарифа за таксите, които се събират за преминаване и ползване на републиканската пътна мрежа, което ще доведе до избягване на противоречия при прилагането ѝ.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Цел 3 „Отпадане на облекчения режим на таксуване за пътни превозни средства над 3, 5 тона, използващи като единствен източник алтернативно гориво по реда на чл. 27, ал. 2 от Тарифа за таксите, които се събират за преминаване и ползване на републиканската пътна мрежа“ – целта е отпадане на облекчения режим на таксуване за пътни превозни средства над 3, 5 тона, използващи като единствен източник алтернативно гориво по</w:t>
      </w:r>
      <w:r w:rsidRPr="006869CB">
        <w:rPr>
          <w:rFonts w:ascii="Times New Roman" w:hAnsi="Times New Roman" w:cs="Times New Roman"/>
          <w:lang w:val="en-US"/>
        </w:rPr>
        <w:t xml:space="preserve"> </w:t>
      </w:r>
      <w:r w:rsidRPr="006869CB">
        <w:rPr>
          <w:rFonts w:ascii="Times New Roman" w:hAnsi="Times New Roman" w:cs="Times New Roman"/>
        </w:rPr>
        <w:t>реда на чл. 27, ал. 2 от Тарифа за таксите, които се събират за преминаване и ползване на републиканската пътна мрежа. По този начин ще бъде спазен основният принцип на ЕС „ползвателят плаща“ и ще бъде увеличен основният приход от пътни такси, чието предназначение е за изграждане/рехабилитация на републиканската пътна мрежа.</w:t>
      </w:r>
    </w:p>
    <w:p w:rsidR="002D33D2" w:rsidRPr="006869CB" w:rsidRDefault="002D33D2" w:rsidP="002D33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Изграждането на модерна и безопасна пътна инфраструктура е основен приоритет за АПИ чрез доизграждането на магистралните и скоростни трасета, което ще допринесе до затваряне на автомагистралния пръстен на Република България,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държави. Тази цел ще бъде постигната чрез реализацията на стратегически инфраструктурни проекти, като: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6869CB">
        <w:rPr>
          <w:rFonts w:ascii="Times New Roman" w:hAnsi="Times New Roman" w:cs="Times New Roman"/>
        </w:rPr>
        <w:t>АМ „Европа“  от км 32+447,20 до км 48+903“</w:t>
      </w:r>
      <w:r w:rsidRPr="006869CB">
        <w:rPr>
          <w:rFonts w:ascii="Times New Roman" w:hAnsi="Times New Roman" w:cs="Times New Roman"/>
          <w:lang w:val="en-US"/>
        </w:rPr>
        <w:t>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6869CB">
        <w:rPr>
          <w:rFonts w:ascii="Times New Roman" w:hAnsi="Times New Roman" w:cs="Times New Roman"/>
          <w:lang w:val="en-US"/>
        </w:rPr>
        <w:t>Автомагистрала Европа от км 15+500 до км 48+903</w:t>
      </w:r>
      <w:r w:rsidRPr="006869CB">
        <w:rPr>
          <w:rFonts w:ascii="Times New Roman" w:hAnsi="Times New Roman" w:cs="Times New Roman"/>
        </w:rPr>
        <w:t>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 „Обход на гр. Габрово от км 20+124,50 до км 30+673,48, включително тунел под връх Шипка“</w:t>
      </w:r>
      <w:r w:rsidRPr="006869CB">
        <w:rPr>
          <w:rFonts w:ascii="Times New Roman" w:hAnsi="Times New Roman" w:cs="Times New Roman"/>
          <w:lang w:val="en-US"/>
        </w:rPr>
        <w:t>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АМ „Русе – Велико Търново“</w:t>
      </w:r>
      <w:r w:rsidRPr="006869CB">
        <w:rPr>
          <w:rFonts w:ascii="Times New Roman" w:hAnsi="Times New Roman" w:cs="Times New Roman"/>
          <w:lang w:val="en-US"/>
        </w:rPr>
        <w:t>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Реконструкция и разширение на Софийски околовръстен път от км 50+500 (малко преди ул. „</w:t>
      </w:r>
      <w:proofErr w:type="spellStart"/>
      <w:r w:rsidRPr="006869CB">
        <w:rPr>
          <w:rFonts w:ascii="Times New Roman" w:hAnsi="Times New Roman" w:cs="Times New Roman"/>
        </w:rPr>
        <w:t>Ралевица</w:t>
      </w:r>
      <w:proofErr w:type="spellEnd"/>
      <w:r w:rsidRPr="006869CB">
        <w:rPr>
          <w:rFonts w:ascii="Times New Roman" w:hAnsi="Times New Roman" w:cs="Times New Roman"/>
        </w:rPr>
        <w:t>“) до км 58+602 (АМ „Струма“) разделена на 3 обособени позиции ППР +СМР</w:t>
      </w:r>
      <w:r w:rsidRPr="006869CB">
        <w:rPr>
          <w:rFonts w:ascii="Times New Roman" w:hAnsi="Times New Roman" w:cs="Times New Roman"/>
          <w:lang w:val="en-US"/>
        </w:rPr>
        <w:t>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„Автомагистрала „Русе - Велико Търново“ от пресичането с път I-3 до края на трасето (от км 76+040 до км 133+240)“ , по две обособени позиции: Обособена позиция № 1: Подучастък № 1: от км 76+040 до км 104+000 Обособена позиция № 2: Подучастък № 2: от км 104+000 до км 133+240“;</w:t>
      </w:r>
      <w:r w:rsidRPr="006869CB">
        <w:rPr>
          <w:rFonts w:ascii="Times New Roman" w:hAnsi="Times New Roman" w:cs="Times New Roman"/>
        </w:rPr>
        <w:tab/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РП II-56 "Пътен възел Скобелева майка" - Път II-86 /Югоизточен обход на Пловдив/, привеждане от проектен габарит Г10,50 към Г20 на участъкът от км 98+000 до км 102+820;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Модернизация на път I-1 (Е79) "Видин - Ботевград" по три основни позиции, за обособена позиция 1 - Път  I-1 "Видин - п.в. Макреш" от км 3+757 до км 33+400;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"Модернизация на път I-1 (Е79) ""Видин - Ботевград"" от км 33+400 до км 102+060 (км 99+193 – километраж по проект), разделен на пет участъка;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Път І-1 /Е-79/ Мездра – Ботевград Лот 2 от км 161+367 до км 174 +800;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Път I-1 /E-79/ Мездра - Ботевград ЛОТ 1 от км 174+800 до км 194+122;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Изграждане на</w:t>
      </w:r>
      <w:r w:rsidRPr="006869CB">
        <w:rPr>
          <w:rFonts w:ascii="Times New Roman" w:hAnsi="Times New Roman" w:cs="Times New Roman"/>
          <w:lang w:val="en-US"/>
        </w:rPr>
        <w:t xml:space="preserve"> 6</w:t>
      </w:r>
      <w:r w:rsidRPr="006869CB">
        <w:rPr>
          <w:rFonts w:ascii="Times New Roman" w:hAnsi="Times New Roman" w:cs="Times New Roman"/>
        </w:rPr>
        <w:t xml:space="preserve"> участъ</w:t>
      </w:r>
      <w:proofErr w:type="spellStart"/>
      <w:r w:rsidRPr="006869CB">
        <w:rPr>
          <w:rFonts w:ascii="Times New Roman" w:hAnsi="Times New Roman" w:cs="Times New Roman"/>
          <w:lang w:val="en-US"/>
        </w:rPr>
        <w:t>кa</w:t>
      </w:r>
      <w:proofErr w:type="spellEnd"/>
      <w:r w:rsidRPr="006869CB">
        <w:rPr>
          <w:rFonts w:ascii="Times New Roman" w:hAnsi="Times New Roman" w:cs="Times New Roman"/>
        </w:rPr>
        <w:t xml:space="preserve"> от АМ Хемус;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Доизграждане на АМ „Хемус“ от км 222+000 до км 310+940, разделен на три участъка: Участък 9 от км 299+000 (след пътен възел „Лозница“, пресичане с път II-49 - по идеен проект) до км 310+940 (начало на участък в строителство), включително пътен възел „Буховци – юг“ (при пресичането на път I-4 с път III-5102);</w:t>
      </w:r>
    </w:p>
    <w:p w:rsidR="002D33D2" w:rsidRPr="006869CB" w:rsidRDefault="002D33D2" w:rsidP="002D33D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АМ „Хемус“, участък от км 310+940 до км 327+260“.</w:t>
      </w:r>
    </w:p>
    <w:p w:rsidR="003A4D7E" w:rsidRPr="006869CB" w:rsidRDefault="003A4D7E" w:rsidP="0093210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6869CB">
        <w:rPr>
          <w:rFonts w:ascii="Times New Roman" w:hAnsi="Times New Roman" w:cs="Times New Roman"/>
          <w:b/>
          <w:i/>
          <w:color w:val="000000"/>
        </w:rPr>
        <w:t>По отношение на Дирекция за национален строителен контрол</w:t>
      </w:r>
    </w:p>
    <w:p w:rsidR="003A4D7E" w:rsidRPr="006869CB" w:rsidRDefault="003A4D7E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ДНСК контролира всички строежи на територията на Република България, действията на общинската администрация и действията на участниците в строителния процес. Извън обхвата на контролната дейност на ДНСК са специалните строежи, свързани с отбраната и сигурността на страната, които се контролират съответно от министъра на отбраната и министъра на вътрешните работи.</w:t>
      </w:r>
    </w:p>
    <w:p w:rsidR="003A4D7E" w:rsidRPr="006869CB" w:rsidRDefault="003A4D7E" w:rsidP="00932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ДНСК се ръководи и представлява от началник, който провежда държавната политика в областта на националния строителен контрол,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територията.</w:t>
      </w:r>
    </w:p>
    <w:p w:rsidR="003A4D7E" w:rsidRPr="006869CB" w:rsidRDefault="003A4D7E" w:rsidP="0093210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6869CB">
        <w:rPr>
          <w:rFonts w:ascii="Times New Roman" w:hAnsi="Times New Roman" w:cs="Times New Roman"/>
          <w:b/>
          <w:i/>
          <w:color w:val="000000"/>
        </w:rPr>
        <w:t>По отношение на Агенция по геодезия, картография и кадастър</w:t>
      </w:r>
    </w:p>
    <w:p w:rsidR="00BC2B0A" w:rsidRPr="006869CB" w:rsidRDefault="00BC2B0A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lastRenderedPageBreak/>
        <w:t xml:space="preserve">Агенцията по геодезия, картография и кадастър (АГКК) изпълнява дейности в съответствие със Закона за кадастъра и имотния регистър (ЗКИР), както и геодезическите и картографски задачи, произтичащи от Закона за геодезията и картографията (ЗГК) и създаване и поддържане на специализирани карти и регистри съгласно Закона за устройството на Черноморското крайбрежие (ЗУЧК).  </w:t>
      </w:r>
    </w:p>
    <w:p w:rsidR="00BC2B0A" w:rsidRPr="006869CB" w:rsidRDefault="00BC2B0A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АГКК е държавен орган, който създава, поддържа и предоставя геодезическата, картографска и кадастрална информация в Република България, както и осигурява достъп до пространствените данни и предоставянето на услуги, свързани с тях. Кадастралната и геодезическа информация се ползва и предоставя основно за сделки с недвижими имоти, при ипотеките, за нуждите на планирането, инвестиционното проектиране, изграждането на инфраструктурни обекти, решаването на проблеми при бедствия, опазване на околната среда и други. След създаване на кадастъра за цялата територия на страната АГКК ще бъде единствения орган, който осигурява на гражданите от едно място кадастрална информация за недвижимите имоти, както в населените места, така и в земеделските земи, горите и другите видове територии.</w:t>
      </w:r>
    </w:p>
    <w:p w:rsidR="00BC2B0A" w:rsidRPr="006869CB" w:rsidRDefault="00BC2B0A" w:rsidP="00932105">
      <w:pPr>
        <w:pStyle w:val="NormalWeb"/>
        <w:spacing w:before="0" w:beforeAutospacing="0" w:after="0" w:afterAutospacing="0"/>
        <w:ind w:firstLine="567"/>
        <w:jc w:val="both"/>
        <w:rPr>
          <w:color w:val="auto"/>
          <w:sz w:val="22"/>
          <w:szCs w:val="22"/>
          <w:lang w:val="bg-BG"/>
        </w:rPr>
      </w:pPr>
      <w:r w:rsidRPr="006869CB">
        <w:rPr>
          <w:color w:val="auto"/>
          <w:sz w:val="22"/>
          <w:szCs w:val="22"/>
          <w:lang w:val="bg-BG"/>
        </w:rPr>
        <w:t>С Постановление № 254 от 10 октомври 2019 г. за допълнение на Постановление № 181 на Министерския съвет от 2009 г. за определяне на стратегическите обекти и дейности, които са от значение за националната сигурност АГКК е обявена за стратегически обект.</w:t>
      </w:r>
    </w:p>
    <w:p w:rsidR="00BC2B0A" w:rsidRPr="006869CB" w:rsidRDefault="00BC2B0A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АГКК е единственият държавен орган с отговорност по</w:t>
      </w:r>
      <w:r w:rsidRPr="006869CB">
        <w:rPr>
          <w:rFonts w:ascii="Times New Roman" w:hAnsi="Times New Roman" w:cs="Times New Roman"/>
          <w:lang w:val="en-US"/>
        </w:rPr>
        <w:t>:</w:t>
      </w:r>
      <w:r w:rsidRPr="006869CB">
        <w:rPr>
          <w:rFonts w:ascii="Times New Roman" w:hAnsi="Times New Roman" w:cs="Times New Roman"/>
        </w:rPr>
        <w:t xml:space="preserve"> създаване, поддържане и издаване на държавните топографски карти в мащаби 1:5000 и 1:10 000 за територията на страната и българската база в Антарктика</w:t>
      </w:r>
      <w:r w:rsidRPr="006869CB">
        <w:rPr>
          <w:rFonts w:ascii="Times New Roman" w:hAnsi="Times New Roman" w:cs="Times New Roman"/>
          <w:lang w:val="en-US"/>
        </w:rPr>
        <w:t xml:space="preserve">; </w:t>
      </w:r>
      <w:r w:rsidRPr="006869CB">
        <w:rPr>
          <w:rFonts w:ascii="Times New Roman" w:hAnsi="Times New Roman" w:cs="Times New Roman"/>
        </w:rPr>
        <w:t xml:space="preserve">създаване и поддържане на регистър на географските имена в Република България; създаване и поддържане на Държавната нивелачна мрежа </w:t>
      </w:r>
      <w:r w:rsidRPr="006869CB">
        <w:rPr>
          <w:rFonts w:ascii="Times New Roman" w:hAnsi="Times New Roman" w:cs="Times New Roman"/>
          <w:lang w:val="en-US"/>
        </w:rPr>
        <w:t>I</w:t>
      </w:r>
      <w:r w:rsidRPr="006869CB">
        <w:rPr>
          <w:rFonts w:ascii="Times New Roman" w:hAnsi="Times New Roman" w:cs="Times New Roman"/>
        </w:rPr>
        <w:t xml:space="preserve"> и </w:t>
      </w:r>
      <w:r w:rsidRPr="006869CB">
        <w:rPr>
          <w:rFonts w:ascii="Times New Roman" w:hAnsi="Times New Roman" w:cs="Times New Roman"/>
          <w:lang w:val="en-US"/>
        </w:rPr>
        <w:t>II</w:t>
      </w:r>
      <w:r w:rsidRPr="006869CB">
        <w:rPr>
          <w:rFonts w:ascii="Times New Roman" w:hAnsi="Times New Roman" w:cs="Times New Roman"/>
        </w:rPr>
        <w:t xml:space="preserve"> клас, която установява единна система от височини за цялата територия на страната и служи за основа на всички височинни измервания, както и решаване на научно-приложни и научноизследователски задачи при определяне фигурата на Земята, вертикалните движения на земната кора, разликите в нивата на моретата и океаните, сеизмично райониране и др</w:t>
      </w:r>
      <w:r w:rsidRPr="006869CB">
        <w:rPr>
          <w:rFonts w:ascii="Times New Roman" w:hAnsi="Times New Roman" w:cs="Times New Roman"/>
          <w:lang w:val="en-US"/>
        </w:rPr>
        <w:t xml:space="preserve">.; </w:t>
      </w:r>
      <w:r w:rsidRPr="006869CB">
        <w:rPr>
          <w:rFonts w:ascii="Times New Roman" w:hAnsi="Times New Roman" w:cs="Times New Roman"/>
        </w:rPr>
        <w:t xml:space="preserve">създаване и поддържане на Държавната гравиметрична мрежа, която е изходна основа за всички гравиметрични измервания и снимки за </w:t>
      </w:r>
      <w:proofErr w:type="spellStart"/>
      <w:r w:rsidRPr="006869CB">
        <w:rPr>
          <w:rFonts w:ascii="Times New Roman" w:hAnsi="Times New Roman" w:cs="Times New Roman"/>
        </w:rPr>
        <w:t>геодезически</w:t>
      </w:r>
      <w:proofErr w:type="spellEnd"/>
      <w:r w:rsidRPr="006869CB">
        <w:rPr>
          <w:rFonts w:ascii="Times New Roman" w:hAnsi="Times New Roman" w:cs="Times New Roman"/>
        </w:rPr>
        <w:t>, геофизични, научни и научноизследователски цели; създаване и поддържка на регистъра на географските имена.</w:t>
      </w:r>
    </w:p>
    <w:p w:rsidR="00BC2B0A" w:rsidRPr="006869CB" w:rsidRDefault="00BC2B0A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АГКК организира и поддържа Държавния </w:t>
      </w:r>
      <w:proofErr w:type="spellStart"/>
      <w:r w:rsidRPr="006869CB">
        <w:rPr>
          <w:rFonts w:ascii="Times New Roman" w:hAnsi="Times New Roman" w:cs="Times New Roman"/>
        </w:rPr>
        <w:t>геодезически</w:t>
      </w:r>
      <w:proofErr w:type="spellEnd"/>
      <w:r w:rsidRPr="006869CB">
        <w:rPr>
          <w:rFonts w:ascii="Times New Roman" w:hAnsi="Times New Roman" w:cs="Times New Roman"/>
        </w:rPr>
        <w:t>, картографски и кадастрален фонд (Геокартфонд), който е част от Националния архивен фонд.</w:t>
      </w:r>
    </w:p>
    <w:p w:rsidR="00BC2B0A" w:rsidRPr="006869CB" w:rsidRDefault="00BC2B0A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АГКК отговаря, съвместно с МО и МВР, за определянето и осъвременяването на Българската геодезическа система.</w:t>
      </w:r>
    </w:p>
    <w:p w:rsidR="00BC2B0A" w:rsidRPr="006869CB" w:rsidRDefault="00BC2B0A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С изпълнение на горепосочените дейности АГКК осигурява и поддържа в национален мащаб актуални и качествени пространствени данни, съответстващи на световните и европейски стандарти, за обезпечаване нуждите на всички потребители, подобряване на инвестиционния процес и създаване на основа за устойчиво интегрирано регионално развитие.</w:t>
      </w:r>
    </w:p>
    <w:p w:rsidR="003A4D7E" w:rsidRPr="006869CB" w:rsidRDefault="003A4D7E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869CB">
        <w:rPr>
          <w:rFonts w:ascii="Times New Roman" w:hAnsi="Times New Roman" w:cs="Times New Roman"/>
          <w:b/>
          <w:i/>
        </w:rPr>
        <w:t>По отношение на дирекция „Технически правила и норми“</w:t>
      </w:r>
    </w:p>
    <w:p w:rsidR="00516935" w:rsidRPr="006869CB" w:rsidRDefault="00516935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Дирекция „Технически правила и норми“ (ТПН) в МРРБ отговаря за хармонизацията на техническата нормативна уредба за проектиране, изпълнение и експлоатация на строежите с правото на ЕС, осигуряването на свободното движение на строителните продукти и влагането им в строежите при осигуряване изпълнението на основните изисквания към строежите.</w:t>
      </w:r>
    </w:p>
    <w:p w:rsidR="00516935" w:rsidRPr="006869CB" w:rsidRDefault="00516935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Дирекция</w:t>
      </w:r>
      <w:r w:rsidRPr="006869CB">
        <w:rPr>
          <w:rFonts w:ascii="Times New Roman" w:hAnsi="Times New Roman" w:cs="Times New Roman"/>
          <w:lang w:val="en-US"/>
        </w:rPr>
        <w:t>та</w:t>
      </w:r>
      <w:r w:rsidRPr="006869CB">
        <w:rPr>
          <w:rFonts w:ascii="Times New Roman" w:hAnsi="Times New Roman" w:cs="Times New Roman"/>
        </w:rPr>
        <w:t xml:space="preserve"> работи за осъществяването на държавна политика по разработването на технически нормативни актове в областта на обследването, проектирането, изпълнението, поддържането и разрушаването на строежите и хармонизиране на актовете с правото на Европейския съюз за създаване на условия за безопасни, енергоефективни и достъпни строежи с устойчиво използване на природните ресурси, както и за подобряване на околната среда в градовете и качеството на живот на гражданите. Дирекцията осъществява дейност в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подпомага:</w:t>
      </w:r>
    </w:p>
    <w:p w:rsidR="00516935" w:rsidRPr="006869CB" w:rsidRDefault="00516935" w:rsidP="00932105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подобряването на инвестиционния климат и привличането на чуждестранни инвеститори, осигуряване на свободно движение на строителните продукти на единния европейски пазар, развитието на реален пазар на недвижими имоти, което практически е много тясно свързано с провеждане на политиката по регулиране на отрасъл строителство,  с изграждането на устойчива жизнена среда в т.ч. на основните мрежи на транспортната, енергийната, водностопанската и съобщителната инфраструктура и обвързването им с тези на съседните страни и общоевропейската инфраструктурна система;</w:t>
      </w:r>
    </w:p>
    <w:p w:rsidR="00516935" w:rsidRPr="006869CB" w:rsidRDefault="00516935" w:rsidP="00932105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подкрепата за фирмите,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производства, които създават нови работни места.</w:t>
      </w:r>
    </w:p>
    <w:p w:rsidR="00516935" w:rsidRPr="006869CB" w:rsidRDefault="00516935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lastRenderedPageBreak/>
        <w:t>Дейността на дирекция ТПН е свързана с изпълнение на следните цели, заложени в програмния формат на бюджета на МРРБ за разглеждания бюджетен период: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>Разработване и управление на техническата нормативна уредба за проектиране, изпълнение и поддържане на строежите, хармонизирана с европейското техническо законодателство, в т.ч. с европейските регламенти, директиви и стандарти, свързани с удовлетворяването на основните изисквания към строежите по чл. 169, ал. 1 от Закона за устройство на територията: носимоспособност, пожарна безопасност, хигиена, здраве и околната среда, достъпност и безопасна експлоатация, защита от шум, икономия на енергия и топлосъхранение, енергийна ефективност, устойчиво използване на природните ресурси, в рамките на икономически обоснован експлоатационен срок;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>Гарантиране на устойчиво строителство на територията на Република България чрез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стандарти в областта на строителството;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>Нормативна и приложна дейност в областта на пътната инфраструктура;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>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строежите;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 xml:space="preserve">Осигуряване и управление на система за оправомощаване и ефективен контрол върху дейността на лицата, извършващи оценяване на строителните продукти; 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>Защита на националните интереси и отразяването на специфични национални условия при създаването на европейските законодателни актове, свързани със строителните продукти и създаване на национални изисквания за тяхното влагане в строежите на Република България.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color w:val="000000" w:themeColor="text1"/>
        </w:rPr>
        <w:t>Осигуряване на актуална информация за националните изисквания към строителните продукти в зависимост от предвидената им употреба;</w:t>
      </w:r>
    </w:p>
    <w:p w:rsidR="00516935" w:rsidRPr="006869CB" w:rsidRDefault="00516935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color w:val="000000" w:themeColor="text1"/>
        </w:rPr>
        <w:t>Създаване на условия за влагане в строежите на строителни продукти, осигуряващи изпълнението на основните изисквания към строежите, чрез управление на националната система за оценяване на строителните продукти и определяне на национални изисквания за тяхната употреба.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Дирекция ТПН участва в заседания на Европейската комисия, свързани с хармонизиране на националното законодателство с европейското, а също така и при разработване и отчитане на национални стратегически документи за изпълнение на политики на Европейския съюз свързани с енергетика и климат, енергийна ефективност, пътна безопасност и пътно строителство, стратегически документи за хора с увреждания, цифрова реформа в строителния сектор, защита от радон и др.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 xml:space="preserve">Дирекция ТПН чрез отдел „Строителни продукти“ извършва административна услуга: 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АУ34 (2212) – Издаване на разрешение за оценяване на строителни продукти и на разрешение за издаване на технически одобрения и оценки на строителни продукти (Регламент (ЕС) № 305/2011 на Европейския парламент и на Съвета от 9 март 2011 г. за определяне на хармонизирани условия за предлагането на пазара на строителни продукти и за отмяна на Директива 89/106/ЕИО на Съвета – Глава V и Глава VII; чл. 9, ал. 2, т. 3 от Закона за техническите изисквания към продуктите (ЗТИП) ; чл. 17, ал. 1, т. 2 от Наредба № РД-02-20-1 от 5 февруари 2015 г. за условията и реда за влагане на строителни продукти в строежите на Република България)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За извършваната административна услуга се събират такси, съгласно Тарифа № 14 за таксите, които се събират в системата на МРРБ и от областните управители.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•</w:t>
      </w:r>
      <w:r w:rsidRPr="006869CB">
        <w:rPr>
          <w:rFonts w:ascii="Times New Roman" w:hAnsi="Times New Roman" w:cs="Times New Roman"/>
        </w:rPr>
        <w:tab/>
        <w:t>Информация за финансиране на дейности, услуги и други форми на въздействие за сметка на средства, които се планират и разходват по други бюджети и ССЕС в рамките на КФП, но не са от отговорност на ПРБ;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•</w:t>
      </w:r>
      <w:r w:rsidRPr="006869CB">
        <w:rPr>
          <w:rFonts w:ascii="Times New Roman" w:hAnsi="Times New Roman" w:cs="Times New Roman"/>
        </w:rPr>
        <w:tab/>
        <w:t>Консолидирани разходи по политиката, които ПРБ разходва пряко чрез бюджета и отговаря за разпределението/разчитането на разходи по други бюджети и ССЕС;</w:t>
      </w:r>
    </w:p>
    <w:p w:rsidR="001426C4" w:rsidRPr="006869CB" w:rsidRDefault="001426C4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</w:rPr>
        <w:t>•</w:t>
      </w:r>
      <w:r w:rsidRPr="006869CB">
        <w:rPr>
          <w:rFonts w:ascii="Times New Roman" w:hAnsi="Times New Roman" w:cs="Times New Roman"/>
        </w:rPr>
        <w:tab/>
        <w:t>Информация за финансиране на дейности, услуги и други форми на въздействие за сметка на средства, които се планират и разходват по други бюджети и ССЕС в рамките на КФП, но не са от отговорност на ПРБ.</w:t>
      </w:r>
    </w:p>
    <w:p w:rsidR="003A4D7E" w:rsidRPr="006869CB" w:rsidRDefault="003A4D7E" w:rsidP="009321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869CB">
        <w:rPr>
          <w:rFonts w:ascii="Times New Roman" w:hAnsi="Times New Roman" w:cs="Times New Roman"/>
          <w:b/>
          <w:i/>
        </w:rPr>
        <w:t>По отношение на дирекция „Водоснабдяване и канализация и благоустройствени дейности“</w:t>
      </w:r>
    </w:p>
    <w:p w:rsidR="002A6D7B" w:rsidRPr="006869CB" w:rsidRDefault="002A6D7B" w:rsidP="009321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6869CB">
        <w:rPr>
          <w:rFonts w:ascii="Times New Roman" w:eastAsia="Times New Roman" w:hAnsi="Times New Roman" w:cs="Times New Roman"/>
          <w:noProof/>
          <w:lang w:eastAsia="bg-BG"/>
        </w:rPr>
        <w:t xml:space="preserve">Политиката </w:t>
      </w:r>
      <w:r w:rsidRPr="006869CB">
        <w:rPr>
          <w:rFonts w:ascii="Times New Roman" w:hAnsi="Times New Roman" w:cs="Times New Roman"/>
        </w:rPr>
        <w:t>е тясно обвързана с мерките</w:t>
      </w:r>
      <w:r w:rsidRPr="006869CB">
        <w:rPr>
          <w:rFonts w:ascii="Times New Roman" w:hAnsi="Times New Roman" w:cs="Times New Roman"/>
          <w:lang w:val="en-US"/>
        </w:rPr>
        <w:t xml:space="preserve"> </w:t>
      </w:r>
      <w:r w:rsidRPr="006869CB">
        <w:rPr>
          <w:rFonts w:ascii="Times New Roman" w:hAnsi="Times New Roman" w:cs="Times New Roman"/>
        </w:rPr>
        <w:t xml:space="preserve">и с приоритетите на министерството, съгласно стратегическите документи в областта на регионалното развитие, модернизация на пътната инфраструктура и водния сектор, в областта на реализацията на дейностите по благоустройството и </w:t>
      </w:r>
      <w:proofErr w:type="spellStart"/>
      <w:r w:rsidRPr="006869CB">
        <w:rPr>
          <w:rFonts w:ascii="Times New Roman" w:hAnsi="Times New Roman" w:cs="Times New Roman"/>
        </w:rPr>
        <w:t>геозащитата</w:t>
      </w:r>
      <w:proofErr w:type="spellEnd"/>
      <w:r w:rsidRPr="006869CB">
        <w:rPr>
          <w:rFonts w:ascii="Times New Roman" w:hAnsi="Times New Roman" w:cs="Times New Roman"/>
        </w:rPr>
        <w:t xml:space="preserve">. Политиката, осъществявана от МРРБ се базира на принципите  на приемственост, ефективност и </w:t>
      </w:r>
      <w:r w:rsidRPr="006869CB">
        <w:rPr>
          <w:rFonts w:ascii="Times New Roman" w:hAnsi="Times New Roman" w:cs="Times New Roman"/>
        </w:rPr>
        <w:lastRenderedPageBreak/>
        <w:t>експертност.</w:t>
      </w:r>
      <w:r w:rsidRPr="006869CB">
        <w:rPr>
          <w:rFonts w:ascii="Times New Roman" w:eastAsia="Times New Roman" w:hAnsi="Times New Roman" w:cs="Times New Roman"/>
          <w:noProof/>
          <w:lang w:val="en-US" w:eastAsia="bg-BG"/>
        </w:rPr>
        <w:t xml:space="preserve"> </w:t>
      </w:r>
      <w:r w:rsidRPr="006869CB">
        <w:rPr>
          <w:rFonts w:ascii="Times New Roman" w:hAnsi="Times New Roman" w:cs="Times New Roman"/>
        </w:rPr>
        <w:t xml:space="preserve">Развитието на политиката е обвързано с дейности, касаещи подпомагане на процеса на наблюдение и контрол, свързани със стратегическото планиране на инфраструктурни проекти. </w:t>
      </w:r>
    </w:p>
    <w:p w:rsidR="002A6D7B" w:rsidRPr="006869CB" w:rsidRDefault="002A6D7B" w:rsidP="009321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6869CB">
        <w:rPr>
          <w:rFonts w:ascii="Times New Roman" w:eastAsia="Times New Roman" w:hAnsi="Times New Roman" w:cs="Times New Roman"/>
          <w:noProof/>
          <w:lang w:eastAsia="bg-BG"/>
        </w:rPr>
        <w:t>Основните дейности са:</w:t>
      </w:r>
    </w:p>
    <w:p w:rsidR="002A6D7B" w:rsidRPr="006869CB" w:rsidRDefault="002A6D7B" w:rsidP="00932105">
      <w:pPr>
        <w:pStyle w:val="ListParagraph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6869CB">
        <w:rPr>
          <w:rFonts w:ascii="Times New Roman" w:eastAsia="Times New Roman" w:hAnsi="Times New Roman" w:cs="Times New Roman"/>
          <w:noProof/>
          <w:lang w:eastAsia="bg-BG"/>
        </w:rPr>
        <w:t xml:space="preserve"> по изпълнението на превантивни мерки и дейности за ограничаване на свлачищата, ерозионните процеси по Дунавското крайбрежие и абразионните процеси по Черноморското крайбрежие и за предотвратяване на аварии и щети, в т.ч. дейностите по регистрирането и мониторинга на свлачищните райони в Република България се изпълнява от Министерството на регионалното развитие и благоустройството. Геозащитни мерки и дейности се изпълняват от МРРБ, от общините и областни администрации в т.ч. чрез финансовото им подпомагане чрез трансфери за проекто-проучвателни работи и строително-монтажни работи. Свлачищата, ерозията по Дунавското крайбрежие и абразията по Черноморското крайбрежие са част от общите геодинамични процеси, които представляват основни елементи на геоложката опасност на страната.</w:t>
      </w:r>
      <w:r w:rsidRPr="006869CB">
        <w:t xml:space="preserve"> </w:t>
      </w:r>
    </w:p>
    <w:p w:rsidR="002A6D7B" w:rsidRPr="006869CB" w:rsidRDefault="002A6D7B" w:rsidP="00932105">
      <w:pPr>
        <w:pStyle w:val="ListParagraph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6869CB">
        <w:rPr>
          <w:rFonts w:ascii="Times New Roman" w:eastAsia="Times New Roman" w:hAnsi="Times New Roman" w:cs="Times New Roman"/>
          <w:noProof/>
          <w:lang w:eastAsia="bg-BG"/>
        </w:rPr>
        <w:t xml:space="preserve">подкрепа на общинските администрации за подобряване състоянието на общинската пътна и улична мрежи, като транспортна достъпност до и в населените мeста, които са със социална значимост, подобряват достъпа до и в населените места и социалните услуги на територията на общините, както и подобряват техническите характеристики, сигурността и безопасността на общинските пътища и улична мрежа. Нормативно възложеното актуализиране на списъка на общинските пътища и поддържане/допълване на базата данни за състоянието на включените в него пътни трасета  и съоръжения към тях. </w:t>
      </w:r>
    </w:p>
    <w:p w:rsidR="002A6D7B" w:rsidRPr="006869CB" w:rsidRDefault="002A6D7B" w:rsidP="00932105">
      <w:pPr>
        <w:pStyle w:val="ListParagraph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в отрасъл „Водоснабдяване и канализация“ е да се постигне финансово, технически и екологично устойчив отрасъл, който предоставя ВиК услуги с високо качество на социално поносими цени, в съответствие с националното законодателство и европейските директиви в областта на водоснабдяването, отвеждането и пречистването на водите. </w:t>
      </w:r>
      <w:r w:rsidRPr="006869CB">
        <w:rPr>
          <w:rFonts w:ascii="Times New Roman" w:eastAsia="Times New Roman" w:hAnsi="Times New Roman" w:cs="Times New Roman"/>
          <w:noProof/>
          <w:lang w:eastAsia="bg-BG"/>
        </w:rPr>
        <w:t xml:space="preserve">В тази връзка се изпълняват дейности по реализацията на инвестиционни проекти в областта на водоснабдяването и канализацията; планиране развитието на ВиК инфраструктурата; дейности, свързани със стратегическото управлението на отрасъла. </w:t>
      </w:r>
    </w:p>
    <w:p w:rsidR="003A4D7E" w:rsidRPr="006869CB" w:rsidRDefault="003A4D7E" w:rsidP="00932105">
      <w:pPr>
        <w:spacing w:after="0" w:line="240" w:lineRule="auto"/>
        <w:ind w:right="46" w:firstLine="567"/>
        <w:jc w:val="both"/>
        <w:rPr>
          <w:rFonts w:ascii="Times New Roman" w:hAnsi="Times New Roman" w:cs="Times New Roman"/>
          <w:b/>
          <w:i/>
          <w:lang w:val="en-US"/>
        </w:rPr>
      </w:pPr>
      <w:r w:rsidRPr="006869CB">
        <w:rPr>
          <w:rFonts w:ascii="Times New Roman" w:hAnsi="Times New Roman" w:cs="Times New Roman"/>
          <w:b/>
          <w:i/>
        </w:rPr>
        <w:t xml:space="preserve">По отношение на дирекция „Устройство на територията и административно-териториално устройство“ </w:t>
      </w:r>
      <w:r w:rsidRPr="006869CB">
        <w:rPr>
          <w:rFonts w:ascii="Times New Roman" w:hAnsi="Times New Roman" w:cs="Times New Roman"/>
          <w:b/>
          <w:i/>
          <w:lang w:val="en-US"/>
        </w:rPr>
        <w:t>(</w:t>
      </w:r>
      <w:r w:rsidRPr="006869CB">
        <w:rPr>
          <w:rFonts w:ascii="Times New Roman" w:hAnsi="Times New Roman" w:cs="Times New Roman"/>
          <w:b/>
          <w:i/>
        </w:rPr>
        <w:t>УТАТУ</w:t>
      </w:r>
      <w:r w:rsidRPr="006869CB">
        <w:rPr>
          <w:rFonts w:ascii="Times New Roman" w:hAnsi="Times New Roman" w:cs="Times New Roman"/>
          <w:b/>
          <w:i/>
          <w:lang w:val="en-US"/>
        </w:rPr>
        <w:t>)</w:t>
      </w:r>
    </w:p>
    <w:p w:rsidR="00AB2BCE" w:rsidRPr="006869CB" w:rsidRDefault="00AB2BCE" w:rsidP="009321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6869CB">
        <w:rPr>
          <w:rFonts w:ascii="Times New Roman" w:hAnsi="Times New Roman" w:cs="Times New Roman"/>
          <w:color w:val="000000" w:themeColor="text1"/>
        </w:rPr>
        <w:t xml:space="preserve">Осигуряване на териториалното развитие, устройството на територията, административно-териториалното устройство, децентрализацията, изграждането и развитието на техническата инфраструктура и благоустрояването на урбанизираните територии (населени места и селищни образувания), в съответствие с националните стратегически документи, приоритети и програми в сферата на пространственото развитие, пътната инфраструктура, ВиК инфраструктурата и </w:t>
      </w:r>
      <w:proofErr w:type="spellStart"/>
      <w:r w:rsidRPr="006869CB">
        <w:rPr>
          <w:rFonts w:ascii="Times New Roman" w:hAnsi="Times New Roman" w:cs="Times New Roman"/>
          <w:color w:val="000000" w:themeColor="text1"/>
        </w:rPr>
        <w:t>геозащитата</w:t>
      </w:r>
      <w:proofErr w:type="spellEnd"/>
      <w:r w:rsidRPr="006869CB">
        <w:rPr>
          <w:rFonts w:ascii="Times New Roman" w:hAnsi="Times New Roman" w:cs="Times New Roman"/>
          <w:color w:val="000000" w:themeColor="text1"/>
        </w:rPr>
        <w:t>.</w:t>
      </w:r>
    </w:p>
    <w:p w:rsidR="00110B7B" w:rsidRPr="006869CB" w:rsidRDefault="00110B7B" w:rsidP="00932105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</w:rPr>
        <w:t>Отговорност за разпределението на публичните разходи за политиката</w:t>
      </w:r>
    </w:p>
    <w:p w:rsidR="00110B7B" w:rsidRPr="006869CB" w:rsidRDefault="00110B7B" w:rsidP="00932105">
      <w:pPr>
        <w:pStyle w:val="ListParagraph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6869CB">
        <w:rPr>
          <w:rFonts w:ascii="Times New Roman" w:hAnsi="Times New Roman" w:cs="Times New Roman"/>
          <w:i/>
        </w:rPr>
        <w:t>Консолидирани разходи по политиката, които ПРБ разходва пряко чрез бюджета и отговаря за разпределението/разчитането на разходи по други бюджети и ССЕС;</w:t>
      </w:r>
    </w:p>
    <w:p w:rsidR="0088216A" w:rsidRPr="006869CB" w:rsidRDefault="0088216A" w:rsidP="0088216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823"/>
        <w:gridCol w:w="1580"/>
        <w:gridCol w:w="1420"/>
        <w:gridCol w:w="1600"/>
        <w:gridCol w:w="1680"/>
      </w:tblGrid>
      <w:tr w:rsidR="0088216A" w:rsidRPr="006869CB" w:rsidTr="0088216A">
        <w:trPr>
          <w:trHeight w:val="4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Област на политика (в хил.лв.)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Общо разходи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По бюджета на ПРБ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По други бюджети и сметки за СЕС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Политика за подобряване на инвестиционния процес, поддържане, модернизация и изграждане на техническата инфраструктура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Проект 2025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3 669 003,8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1 034 608,5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2 634 395,3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Прогноза 2026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3 179 537,0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1 034 038,9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2 145 498,1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Прогноза 2027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3 577 596,7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1 034 272,5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2 543 324,2</w:t>
            </w:r>
          </w:p>
        </w:tc>
      </w:tr>
      <w:tr w:rsidR="0088216A" w:rsidRPr="006869CB" w:rsidTr="0088216A">
        <w:trPr>
          <w:trHeight w:val="39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Прогноза 2028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5 132 962,7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1 034 626,6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6A" w:rsidRPr="006869CB" w:rsidRDefault="0088216A" w:rsidP="008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6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4 098 336,1</w:t>
            </w:r>
          </w:p>
        </w:tc>
      </w:tr>
    </w:tbl>
    <w:p w:rsidR="0088216A" w:rsidRPr="006869CB" w:rsidRDefault="0088216A" w:rsidP="0088216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110B7B" w:rsidRPr="006869CB" w:rsidRDefault="00110B7B" w:rsidP="008D0E15">
      <w:pPr>
        <w:pStyle w:val="ListParagraph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6869CB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 (попълва се за всяка област на политика)</w:t>
      </w:r>
    </w:p>
    <w:p w:rsidR="00110B7B" w:rsidRPr="006869CB" w:rsidRDefault="00110B7B" w:rsidP="008D0E15">
      <w:pPr>
        <w:spacing w:after="0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  <w:r w:rsidRPr="006869CB">
        <w:rPr>
          <w:rFonts w:ascii="Times New Roman" w:hAnsi="Times New Roman" w:cs="Times New Roman"/>
          <w:b/>
          <w:bCs/>
          <w:sz w:val="16"/>
          <w:szCs w:val="16"/>
        </w:rPr>
        <w:t>КЛЮЧОВИ ИНДИКАТОРИ ЗА ИЗПЪЛНЕНИЕ И ЦЕЛЕВИ СТОЙНОСТИ</w:t>
      </w:r>
    </w:p>
    <w:tbl>
      <w:tblPr>
        <w:tblStyle w:val="TableGrid"/>
        <w:tblW w:w="10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1090"/>
        <w:gridCol w:w="972"/>
        <w:gridCol w:w="998"/>
        <w:gridCol w:w="930"/>
        <w:gridCol w:w="1176"/>
      </w:tblGrid>
      <w:tr w:rsidR="00110B7B" w:rsidRPr="006869CB" w:rsidTr="00F95C1F">
        <w:trPr>
          <w:trHeight w:val="436"/>
        </w:trPr>
        <w:tc>
          <w:tcPr>
            <w:tcW w:w="4995" w:type="dxa"/>
          </w:tcPr>
          <w:p w:rsidR="00110B7B" w:rsidRPr="006869CB" w:rsidRDefault="00110B7B" w:rsidP="00F05C6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Област на политика:</w:t>
            </w:r>
          </w:p>
          <w:p w:rsidR="00110B7B" w:rsidRPr="006869CB" w:rsidRDefault="00F05C69" w:rsidP="00F05C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iCs/>
                <w:sz w:val="16"/>
                <w:szCs w:val="16"/>
              </w:rPr>
              <w:t>Политика за подобряване на инвестиционния процес, поддържане, модернизация и изграждане на техническата инфраструктура</w:t>
            </w:r>
          </w:p>
        </w:tc>
        <w:tc>
          <w:tcPr>
            <w:tcW w:w="1090" w:type="dxa"/>
            <w:vMerge w:val="restart"/>
            <w:shd w:val="clear" w:color="auto" w:fill="F2F2F2" w:themeFill="background1" w:themeFillShade="F2"/>
          </w:tcPr>
          <w:p w:rsidR="00110B7B" w:rsidRPr="006869CB" w:rsidRDefault="00110B7B" w:rsidP="00B808D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0B7B" w:rsidRPr="006869CB" w:rsidRDefault="00110B7B" w:rsidP="00B808D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 стойност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110B7B" w:rsidRPr="006869CB" w:rsidRDefault="00110B7B" w:rsidP="00B808D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10B7B" w:rsidRPr="006869CB" w:rsidTr="00036913">
        <w:trPr>
          <w:trHeight w:val="432"/>
        </w:trPr>
        <w:tc>
          <w:tcPr>
            <w:tcW w:w="4995" w:type="dxa"/>
            <w:tcBorders>
              <w:bottom w:val="nil"/>
            </w:tcBorders>
          </w:tcPr>
          <w:p w:rsidR="00110B7B" w:rsidRPr="006869CB" w:rsidRDefault="00110B7B" w:rsidP="00B808D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на индикатора</w:t>
            </w:r>
          </w:p>
        </w:tc>
        <w:tc>
          <w:tcPr>
            <w:tcW w:w="109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Проект</w:t>
            </w:r>
          </w:p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г.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</w:tcPr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г.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</w:tcPr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г.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:rsidR="00110B7B" w:rsidRPr="006869CB" w:rsidRDefault="00110B7B" w:rsidP="00B808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</w:t>
            </w:r>
          </w:p>
          <w:p w:rsidR="00110B7B" w:rsidRPr="006869CB" w:rsidRDefault="00110B7B" w:rsidP="003A4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г.</w:t>
            </w:r>
          </w:p>
        </w:tc>
      </w:tr>
      <w:tr w:rsidR="00110B7B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3A4D7E" w:rsidP="003A4D7E">
            <w:pPr>
              <w:pStyle w:val="ListParagraph"/>
              <w:tabs>
                <w:tab w:val="left" w:pos="-105"/>
              </w:tabs>
              <w:ind w:left="3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1.„Подобряване условията на жизнената среда в сградите чрез контрол, осъществяван от ДНСК, гарантиращ безопасно и здравословно обитаване при въвеждане в експлоатация на строежи от 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I, II 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III 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категория,“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10B7B" w:rsidRPr="006869CB" w:rsidRDefault="003A4D7E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F05C69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F05C69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F05C69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F05C69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F05C69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C69" w:rsidRPr="006869CB" w:rsidRDefault="00F05C69" w:rsidP="00F05C69">
            <w:pPr>
              <w:tabs>
                <w:tab w:val="left" w:pos="-105"/>
                <w:tab w:val="left" w:pos="321"/>
              </w:tabs>
              <w:ind w:left="3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Гарантиране спазването на нормативните изисквания за сигурност, устойчивост, безопасност и достъпност на строежите чрез повишен контрол върху инвестиционния процес в строителството и действията на общинската администрация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05C69" w:rsidRPr="006869CB" w:rsidRDefault="00F05C69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C69" w:rsidRPr="006869CB" w:rsidRDefault="00F05C69" w:rsidP="00F0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Min.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 xml:space="preserve"> (1)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C69" w:rsidRPr="006869CB" w:rsidRDefault="00F05C69" w:rsidP="00F0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Min.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 xml:space="preserve"> (1)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C69" w:rsidRPr="006869CB" w:rsidRDefault="00F05C69" w:rsidP="00F0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Min.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 xml:space="preserve"> (1)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C69" w:rsidRPr="006869CB" w:rsidRDefault="00F05C69" w:rsidP="00F0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Min.</w:t>
            </w: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 xml:space="preserve"> (1)</w:t>
            </w:r>
          </w:p>
        </w:tc>
      </w:tr>
      <w:tr w:rsidR="00110B7B" w:rsidRPr="006869CB" w:rsidTr="00036913">
        <w:trPr>
          <w:trHeight w:val="35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645ADB" w:rsidP="003A4D7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Предоставени услуги от </w:t>
            </w:r>
            <w:proofErr w:type="spellStart"/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геодезически</w:t>
            </w:r>
            <w:proofErr w:type="spellEnd"/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топографски и кадастрални данни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10B7B" w:rsidRPr="006869CB" w:rsidRDefault="00645ADB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млн. бр.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645ADB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645ADB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645ADB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7B" w:rsidRPr="006869CB" w:rsidRDefault="00645ADB" w:rsidP="00F05C6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1D02E1" w:rsidRPr="006869CB" w:rsidTr="00A35D63">
        <w:trPr>
          <w:trHeight w:val="30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1D02E1" w:rsidRPr="006869CB" w:rsidRDefault="001D02E1" w:rsidP="001D02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 Поддържане на валидни сертификати, издадени на производители на строителни продукти, от лица за оценяване на строителни продукти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брой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</w:t>
            </w:r>
          </w:p>
        </w:tc>
      </w:tr>
      <w:tr w:rsidR="001D02E1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1D02E1" w:rsidRPr="006869CB" w:rsidRDefault="001D02E1" w:rsidP="001D02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 Участия в заседания на европейско и национално ниво за хармонизиране на националното законодателство с европейското и/или в разработването или отчитането на национални стратегически документи за изпълнение на политики на Европейския съюз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02E1" w:rsidRPr="006869CB" w:rsidRDefault="001D02E1" w:rsidP="00C02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брой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C02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C02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C02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C02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1D02E1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95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6. Поддържане на регулаторна база от технически нормативни актове за обследване, проектиране, изграждане и поддържане на с</w:t>
            </w:r>
            <w:r w:rsidR="009506A3" w:rsidRPr="006869CB">
              <w:rPr>
                <w:rFonts w:ascii="Times New Roman" w:hAnsi="Times New Roman" w:cs="Times New Roman"/>
                <w:sz w:val="16"/>
                <w:szCs w:val="16"/>
              </w:rPr>
              <w:t>троежите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брой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2E1" w:rsidRPr="006869CB" w:rsidRDefault="001D02E1" w:rsidP="001D02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</w:tr>
      <w:tr w:rsidR="00C02E15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02E15" w:rsidRPr="006869CB" w:rsidRDefault="00C02E15" w:rsidP="00C02E15">
            <w:pPr>
              <w:pStyle w:val="ListParagraph"/>
              <w:numPr>
                <w:ilvl w:val="0"/>
                <w:numId w:val="19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Контролирана свлачищна територия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ха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54381B" w:rsidP="005438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02E15"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54381B" w:rsidP="005438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02E15"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54381B" w:rsidP="005438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02E15"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54381B" w:rsidP="0054381B">
            <w:pPr>
              <w:pStyle w:val="ListParagraph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02E15"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C02E15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02E15" w:rsidRPr="006869CB" w:rsidRDefault="00C02E15" w:rsidP="009506A3">
            <w:pPr>
              <w:pStyle w:val="ListParagraph"/>
              <w:numPr>
                <w:ilvl w:val="0"/>
                <w:numId w:val="19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Решения на Министерския съвет за изменения и допълнения на списък на общинските пътища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</w:t>
            </w:r>
          </w:p>
        </w:tc>
      </w:tr>
      <w:tr w:rsidR="00C02E15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02E15" w:rsidRPr="006869CB" w:rsidRDefault="00C02E15" w:rsidP="009506A3">
            <w:pPr>
              <w:pStyle w:val="ListParagraph"/>
              <w:numPr>
                <w:ilvl w:val="0"/>
                <w:numId w:val="19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Завършен благоустройствен обект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(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участък от общинската пътна или улична мрежи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)</w:t>
            </w:r>
            <w:r w:rsidRPr="006869CB" w:rsidDel="004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C02E15" w:rsidRPr="006869CB" w:rsidTr="00E4085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02E15" w:rsidRPr="006869CB" w:rsidRDefault="00C02E15" w:rsidP="009506A3">
            <w:pPr>
              <w:pStyle w:val="ListParagraph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Подобряване качеството на предоставяната услуга „Водоснабдяване и канализация“, чрез увеличаване броя на жителите, на които се предоставя питейна вода с подобрени качествени показатели и/или на които се осигурява непрекъснатост на водоснабдяването и/или на които се предоставя подобрена услуга отвеждане и пречистване на отпадъчните води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2E15" w:rsidRPr="006869CB" w:rsidRDefault="00C02E15" w:rsidP="00E408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бр. жители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9506A3">
            <w:pPr>
              <w:jc w:val="center"/>
              <w:rPr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18 000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9506A3">
            <w:pPr>
              <w:jc w:val="center"/>
              <w:rPr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9506A3">
            <w:pPr>
              <w:jc w:val="center"/>
              <w:rPr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85</w:t>
            </w: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C02E15" w:rsidP="0095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25 000</w:t>
            </w:r>
          </w:p>
        </w:tc>
      </w:tr>
      <w:tr w:rsidR="00C02E15" w:rsidRPr="006869CB" w:rsidTr="00036913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AB2BCE" w:rsidP="009506A3">
            <w:pPr>
              <w:pStyle w:val="ListParagraph"/>
              <w:numPr>
                <w:ilvl w:val="0"/>
                <w:numId w:val="19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sz w:val="16"/>
                <w:szCs w:val="16"/>
              </w:rPr>
              <w:t>Обезпечаване на територията на страната с общи устройствени планове. (нарастване на броя на общините с действащи общи устройствени планове)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2E15" w:rsidRPr="006869CB" w:rsidRDefault="00AB2BCE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AB2BCE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AB2BCE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AB2BCE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15" w:rsidRPr="006869CB" w:rsidRDefault="00AB2BCE" w:rsidP="00C02E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731BF9" w:rsidRPr="006869CB" w:rsidTr="007D698B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31BF9" w:rsidRPr="006869CB" w:rsidRDefault="00731BF9" w:rsidP="00731B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12.  Рехабилитирани и </w:t>
            </w:r>
            <w:proofErr w:type="spellStart"/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новоизградени</w:t>
            </w:r>
            <w:proofErr w:type="spellEnd"/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участъци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Км.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288,058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286,83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237,72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334,892</w:t>
            </w:r>
          </w:p>
        </w:tc>
      </w:tr>
      <w:tr w:rsidR="00731BF9" w:rsidRPr="006869CB" w:rsidTr="007D698B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31BF9" w:rsidRPr="006869CB" w:rsidRDefault="00731BF9" w:rsidP="00731B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13 . Текущ ремонт и поддържане на РПМ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Км.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19 968,434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19 968,434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19968,434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19968,434</w:t>
            </w:r>
          </w:p>
        </w:tc>
      </w:tr>
      <w:tr w:rsidR="00731BF9" w:rsidRPr="006869CB" w:rsidTr="007D698B">
        <w:trPr>
          <w:trHeight w:val="21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31BF9" w:rsidRPr="006869CB" w:rsidRDefault="00731BF9" w:rsidP="00731B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14.  Брой подадени електронни винетки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Бр.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6 300 000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6 300 000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6 300 000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BF9" w:rsidRPr="006869CB" w:rsidRDefault="00731BF9" w:rsidP="00731B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9CB">
              <w:rPr>
                <w:rFonts w:ascii="Times New Roman" w:hAnsi="Times New Roman" w:cs="Times New Roman"/>
                <w:bCs/>
                <w:sz w:val="16"/>
                <w:szCs w:val="16"/>
              </w:rPr>
              <w:t>6 300 000</w:t>
            </w:r>
          </w:p>
        </w:tc>
      </w:tr>
    </w:tbl>
    <w:p w:rsidR="00731BF9" w:rsidRPr="006869CB" w:rsidRDefault="00731BF9" w:rsidP="00F05C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lang w:eastAsia="bg-BG"/>
        </w:rPr>
      </w:pPr>
    </w:p>
    <w:p w:rsidR="00F05C69" w:rsidRPr="006869CB" w:rsidRDefault="00F05C69" w:rsidP="00F05C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bg-BG"/>
        </w:rPr>
      </w:pPr>
      <w:r w:rsidRPr="006869CB">
        <w:rPr>
          <w:rFonts w:ascii="Times New Roman" w:eastAsia="Calibri" w:hAnsi="Times New Roman" w:cs="Times New Roman"/>
          <w:b/>
          <w:bCs/>
          <w:i/>
          <w:lang w:eastAsia="bg-BG"/>
        </w:rPr>
        <w:t xml:space="preserve">Индикатор „Подобряване условията на жизнената среда в сградите чрез контрол, осъществяван от ДНСК, гарантиращ безопасно и здравословно обитаване при въвеждане в експлоатация на строежи от </w:t>
      </w:r>
      <w:r w:rsidRPr="006869CB">
        <w:rPr>
          <w:rFonts w:ascii="Times New Roman" w:eastAsia="Calibri" w:hAnsi="Times New Roman" w:cs="Times New Roman"/>
          <w:b/>
          <w:bCs/>
          <w:i/>
          <w:lang w:val="en-US" w:eastAsia="bg-BG"/>
        </w:rPr>
        <w:t xml:space="preserve">I, II </w:t>
      </w:r>
      <w:r w:rsidRPr="006869CB">
        <w:rPr>
          <w:rFonts w:ascii="Times New Roman" w:eastAsia="Calibri" w:hAnsi="Times New Roman" w:cs="Times New Roman"/>
          <w:b/>
          <w:bCs/>
          <w:i/>
          <w:lang w:eastAsia="bg-BG"/>
        </w:rPr>
        <w:t xml:space="preserve">и </w:t>
      </w:r>
      <w:r w:rsidRPr="006869CB">
        <w:rPr>
          <w:rFonts w:ascii="Times New Roman" w:eastAsia="Calibri" w:hAnsi="Times New Roman" w:cs="Times New Roman"/>
          <w:b/>
          <w:bCs/>
          <w:i/>
          <w:lang w:val="en-US" w:eastAsia="bg-BG"/>
        </w:rPr>
        <w:t xml:space="preserve">III </w:t>
      </w:r>
      <w:r w:rsidRPr="006869CB">
        <w:rPr>
          <w:rFonts w:ascii="Times New Roman" w:eastAsia="Calibri" w:hAnsi="Times New Roman" w:cs="Times New Roman"/>
          <w:b/>
          <w:bCs/>
          <w:i/>
          <w:lang w:eastAsia="bg-BG"/>
        </w:rPr>
        <w:t xml:space="preserve">категория“ </w:t>
      </w:r>
      <w:r w:rsidRPr="006869CB">
        <w:rPr>
          <w:rFonts w:ascii="Times New Roman" w:eastAsia="Calibri" w:hAnsi="Times New Roman" w:cs="Times New Roman"/>
          <w:b/>
          <w:bCs/>
          <w:lang w:eastAsia="bg-BG"/>
        </w:rPr>
        <w:t xml:space="preserve">- </w:t>
      </w:r>
      <w:r w:rsidRPr="006869CB">
        <w:rPr>
          <w:rFonts w:ascii="Times New Roman" w:eastAsia="Calibri" w:hAnsi="Times New Roman" w:cs="Times New Roman"/>
        </w:rPr>
        <w:t>целева стойност  100%</w:t>
      </w:r>
      <w:r w:rsidRPr="006869CB">
        <w:rPr>
          <w:rFonts w:ascii="Times New Roman" w:eastAsia="Calibri" w:hAnsi="Times New Roman" w:cs="Times New Roman"/>
          <w:lang w:eastAsia="es-ES_tradnl"/>
        </w:rPr>
        <w:t>, представлява съотношение между издадените Разрешения за ползване и постъпилите заявления за издаване на Разрешения за ползване, за които е назначена ДПК.</w:t>
      </w:r>
    </w:p>
    <w:p w:rsidR="00F05C69" w:rsidRPr="006869CB" w:rsidRDefault="00F05C69" w:rsidP="00F05C69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869CB">
        <w:rPr>
          <w:rFonts w:ascii="Times New Roman" w:eastAsia="Times New Roman" w:hAnsi="Times New Roman" w:cs="Times New Roman"/>
        </w:rPr>
        <w:t>Строежите от първа, втора и трета категория се въвеждат в експлоатация, съгласно разпоредбата на чл.177, ал.2 ЗУТ, въз основа на разрешение за ползване, издадено от органите на ДНСК. Ползата от дадената политика се изразява в недопускане въвеждането в експлоатация на строежи от първа, втора и трета категория, изпълнени в нарушение на изискванията на чл.169, ал.1, ал.2 и ал.3 от ЗУТ, със строителни продукти несъответстващи на съществените изисквания към строежите, без да е упражняван строителен надзор, в нарушение предвижданията на ПУП и др.</w:t>
      </w:r>
      <w:r w:rsidRPr="006869CB">
        <w:rPr>
          <w:rFonts w:ascii="Times New Roman" w:eastAsia="Times New Roman" w:hAnsi="Times New Roman" w:cs="Times New Roman"/>
          <w:lang w:val="en-US"/>
        </w:rPr>
        <w:t xml:space="preserve"> </w:t>
      </w:r>
      <w:r w:rsidRPr="006869CB">
        <w:rPr>
          <w:rFonts w:ascii="Times New Roman" w:eastAsia="Times New Roman" w:hAnsi="Times New Roman" w:cs="Times New Roman"/>
        </w:rPr>
        <w:t xml:space="preserve">Изпълнението </w:t>
      </w:r>
      <w:r w:rsidRPr="006869CB">
        <w:rPr>
          <w:rFonts w:ascii="Times New Roman" w:eastAsia="Times New Roman" w:hAnsi="Times New Roman" w:cs="Times New Roman"/>
          <w:lang w:eastAsia="bg-BG"/>
        </w:rPr>
        <w:t>на строежи, гарантиращи безопасни и здравословни условия в икономически обоснован експлоатационен срок са гаранция за подобряване условията на жизнената среда в сградите.</w:t>
      </w:r>
    </w:p>
    <w:p w:rsidR="00F05C69" w:rsidRPr="006869CB" w:rsidRDefault="00F05C69" w:rsidP="00F05C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lang w:eastAsia="bg-BG"/>
        </w:rPr>
      </w:pPr>
      <w:r w:rsidRPr="006869CB">
        <w:rPr>
          <w:rFonts w:ascii="Times New Roman" w:eastAsia="Calibri" w:hAnsi="Times New Roman" w:cs="Times New Roman"/>
          <w:b/>
          <w:bCs/>
          <w:i/>
          <w:lang w:eastAsia="bg-BG"/>
        </w:rPr>
        <w:t>Индикатор „Гарантиране спазването на нормативните изисквания за сигурност, устойчивост, безопасност и достъпност на строежите чрез повишен контрол върху инвестиционния процес в строителството и действията на общинската администрация“.</w:t>
      </w:r>
    </w:p>
    <w:p w:rsidR="00F05C69" w:rsidRPr="006869CB" w:rsidRDefault="00F05C69" w:rsidP="00857E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6869CB">
        <w:rPr>
          <w:rFonts w:ascii="Times New Roman" w:eastAsia="Times New Roman" w:hAnsi="Times New Roman" w:cs="Times New Roman"/>
          <w:lang w:eastAsia="bg-BG"/>
        </w:rPr>
        <w:t xml:space="preserve">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извършените проверки на строежи и издадени строителни книжа. Резултатът трябва да клони </w:t>
      </w:r>
      <w:r w:rsidRPr="006869CB">
        <w:rPr>
          <w:rFonts w:ascii="Times New Roman" w:eastAsia="Calibri" w:hAnsi="Times New Roman" w:cs="Times New Roman"/>
          <w:lang w:eastAsia="es-ES_tradnl"/>
        </w:rPr>
        <w:t xml:space="preserve">към </w:t>
      </w:r>
      <w:r w:rsidRPr="006869CB">
        <w:rPr>
          <w:rFonts w:ascii="Times New Roman" w:eastAsia="Calibri" w:hAnsi="Times New Roman" w:cs="Times New Roman"/>
          <w:lang w:val="en-US" w:eastAsia="es-ES_tradnl"/>
        </w:rPr>
        <w:t>min</w:t>
      </w:r>
      <w:r w:rsidRPr="006869CB">
        <w:rPr>
          <w:rFonts w:ascii="Times New Roman" w:eastAsia="Calibri" w:hAnsi="Times New Roman" w:cs="Times New Roman"/>
          <w:lang w:eastAsia="es-ES_tradnl"/>
        </w:rPr>
        <w:t xml:space="preserve"> . (1)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F05C69" w:rsidRPr="006869CB" w:rsidRDefault="00F05C69" w:rsidP="001E52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eastAsia="Times New Roman" w:hAnsi="Times New Roman" w:cs="Times New Roman"/>
          <w:lang w:eastAsia="bg-BG"/>
        </w:rPr>
        <w:t>ДНСК контролира всички строежи на територията на Република България, действията на общинската администрация и действията на участниците в строителния процес. ДНСК упражнява контрол по спазването на Закона</w:t>
      </w:r>
      <w:r w:rsidR="001E5204" w:rsidRPr="006869CB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 за устройство на територията (ЗУТ) и на нормативните актове по прилагането му при проектирането и строителството, в т.ч. влагането на качествени строителни материали и изделия с оглед осигуряване на сигурността, безопасността, достъпността и другите нормативни изисквания към строежите.</w:t>
      </w:r>
      <w:r w:rsidR="001E5204" w:rsidRPr="006869CB">
        <w:rPr>
          <w:rFonts w:ascii="Times New Roman" w:hAnsi="Times New Roman" w:cs="Times New Roman"/>
        </w:rPr>
        <w:t xml:space="preserve"> </w:t>
      </w:r>
      <w:r w:rsidRPr="006869CB">
        <w:rPr>
          <w:rFonts w:ascii="Times New Roman" w:eastAsia="Times New Roman" w:hAnsi="Times New Roman" w:cs="Times New Roman"/>
        </w:rPr>
        <w:t>Спирането и премахването на незаконни строежи и забрана ползването на строежи, които не са въведени в експлоатация по нормативно установения ред за строежи от първа, втора и трета категория се извършва от ДНСК.</w:t>
      </w:r>
      <w:r w:rsidR="001E5204" w:rsidRPr="006869CB">
        <w:rPr>
          <w:rFonts w:ascii="Times New Roman" w:hAnsi="Times New Roman" w:cs="Times New Roman"/>
        </w:rPr>
        <w:t xml:space="preserve"> </w:t>
      </w:r>
      <w:r w:rsidRPr="006869CB">
        <w:rPr>
          <w:rFonts w:ascii="Times New Roman" w:eastAsia="Times New Roman" w:hAnsi="Times New Roman" w:cs="Times New Roman"/>
          <w:lang w:eastAsia="bg-BG"/>
        </w:rPr>
        <w:t xml:space="preserve">Целта на политиката по регулиране и контрол върху проектирането и строителството е да се осигури изпълнение на строежи, гарантиращи безопасни и здравословни условия в икономически обоснован експлоатационен срок. </w:t>
      </w:r>
    </w:p>
    <w:p w:rsidR="00857ECF" w:rsidRPr="006869CB" w:rsidRDefault="00857ECF" w:rsidP="00445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69CB">
        <w:rPr>
          <w:rFonts w:ascii="Times New Roman" w:eastAsia="Times New Roman" w:hAnsi="Times New Roman" w:cs="Times New Roman"/>
          <w:b/>
          <w:i/>
        </w:rPr>
        <w:t xml:space="preserve">Индикатор „Предоставени услуги от </w:t>
      </w:r>
      <w:proofErr w:type="spellStart"/>
      <w:r w:rsidRPr="006869CB">
        <w:rPr>
          <w:rFonts w:ascii="Times New Roman" w:eastAsia="Times New Roman" w:hAnsi="Times New Roman" w:cs="Times New Roman"/>
          <w:b/>
          <w:i/>
        </w:rPr>
        <w:t>геодезически</w:t>
      </w:r>
      <w:proofErr w:type="spellEnd"/>
      <w:r w:rsidRPr="006869CB">
        <w:rPr>
          <w:rFonts w:ascii="Times New Roman" w:eastAsia="Times New Roman" w:hAnsi="Times New Roman" w:cs="Times New Roman"/>
          <w:b/>
          <w:i/>
        </w:rPr>
        <w:t xml:space="preserve"> топографски и кадастрални данни“</w:t>
      </w:r>
      <w:r w:rsidRPr="006869CB">
        <w:rPr>
          <w:rFonts w:ascii="Times New Roman" w:eastAsia="Times New Roman" w:hAnsi="Times New Roman" w:cs="Times New Roman"/>
        </w:rPr>
        <w:t xml:space="preserve"> отразява извършените за нуждите на ведомства, общини, физически и юридическите лица справки и услуги </w:t>
      </w:r>
      <w:r w:rsidRPr="006869CB">
        <w:rPr>
          <w:rFonts w:ascii="Times New Roman" w:eastAsia="Times New Roman" w:hAnsi="Times New Roman" w:cs="Times New Roman"/>
        </w:rPr>
        <w:lastRenderedPageBreak/>
        <w:t xml:space="preserve">при условия и по ред, определени в ЗКИР, ЗГК и Тарифа № 14 за таксите, които се събират в системата на Министерството на регионалното развитие и благоустройството и от областните управители. Индикаторът изпълнява стратегическа цел „Създаване, поддържане и развитие на геоинформационна система, хармонизирана с директивите на Европейския съюз за пространствена информация за управление на масивите от </w:t>
      </w:r>
      <w:proofErr w:type="spellStart"/>
      <w:r w:rsidRPr="006869CB">
        <w:rPr>
          <w:rFonts w:ascii="Times New Roman" w:eastAsia="Times New Roman" w:hAnsi="Times New Roman" w:cs="Times New Roman"/>
        </w:rPr>
        <w:t>геодезически</w:t>
      </w:r>
      <w:proofErr w:type="spellEnd"/>
      <w:r w:rsidRPr="006869CB">
        <w:rPr>
          <w:rFonts w:ascii="Times New Roman" w:eastAsia="Times New Roman" w:hAnsi="Times New Roman" w:cs="Times New Roman"/>
        </w:rPr>
        <w:t>, топографски, кадастрални данни, в т.ч. данните от Геокартфонд и от регистъра на географските имена и предоставяне на висококачествени услуги на потребителите.“</w:t>
      </w:r>
    </w:p>
    <w:p w:rsidR="00445FE2" w:rsidRPr="006869CB" w:rsidRDefault="00445FE2" w:rsidP="00445F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Индикатор „Поддържане на валидни сертификати, издадени на производители на строителни продукти, от лица за оценяване на строителни продукти“</w:t>
      </w:r>
      <w:r w:rsidRPr="006869CB">
        <w:rPr>
          <w:rFonts w:ascii="Times New Roman" w:hAnsi="Times New Roman" w:cs="Times New Roman"/>
        </w:rPr>
        <w:t xml:space="preserve"> измерва постигането на стратегическа цел „Създаване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строежите“ и се допринася с изпълнението на оперативна цел „Осигуряване и управление на система за оправомощаване и ефективен контрол върху дейността на лицата, извършващи оценяване на строителните продукти“</w:t>
      </w:r>
    </w:p>
    <w:p w:rsidR="00445FE2" w:rsidRPr="006869CB" w:rsidRDefault="00445FE2" w:rsidP="00445F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Индикатор „Участия в заседания на европейско и национално ниво за хармонизиране на националното законодателство с европейското и/или в разработването или отчитането на национални стратегически документи за изпълнение на политики на Европейския съюз“</w:t>
      </w:r>
      <w:r w:rsidRPr="006869CB">
        <w:rPr>
          <w:rFonts w:ascii="Times New Roman" w:hAnsi="Times New Roman" w:cs="Times New Roman"/>
        </w:rPr>
        <w:t xml:space="preserve"> измерва  стратегическа цел „Гарантиране на устойчиво строителство на територията на Република България чрез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стандарти в областта на строителството“ и се допринася с изпълнението на оперативна цел „Защита на националните интереси и отразяването на специфични национални условия при създаването на европейските законодателни актове, свързани със строителните продукти и създаване на национални изисквания за тяхното влагане в строежите на Република България“ и оперативна цел „Създаване и управление на техническата нормативна уредба за проектиране, изпълнение и поддържане на строежите, хармонизирана с европейското техническо законодателство, в т.ч. с европейските регламенти, директиви и стандарти, свързани с удовлетворяването на основните изисквания към строежите по чл. 169 от Закона за устройство на територията: носимоспособност, пожарна безопасност, хигиена, здраве и околната среда, достъпност и безопасна експлоатация, защита от шум, икономия на енергия и топлосъхранение, устойчиво използване на природните ресурси, в рамките на икономически обоснован експлоатационен срок“.</w:t>
      </w:r>
    </w:p>
    <w:p w:rsidR="00445FE2" w:rsidRPr="006869CB" w:rsidRDefault="00445FE2" w:rsidP="007A6C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Индикатор „Поддържане на регулаторна база от технически нормативни актове за обследване, проектиране, изграждане и поддържане на строежите“</w:t>
      </w:r>
      <w:r w:rsidRPr="006869CB">
        <w:rPr>
          <w:rFonts w:ascii="Times New Roman" w:hAnsi="Times New Roman" w:cs="Times New Roman"/>
        </w:rPr>
        <w:t xml:space="preserve"> измерва постигането на оперативна цел „Разработване и управление на техническата нормативна уредба за проектиране, изпълнение и поддържане на строежите, хармонизирана с европейското техническо законодателство, в т.ч. с европейските регламенти, директиви и стандарти, свързани с удовлетворяването на основните изисквания към строежите по чл. 169, ал. 1 от Закона за устройство на територията: носимоспособност, пожарна безопасност, хигиена, здраве и околната среда, достъпност и безопасна експлоатация, защита от шум, икономия на енергия и топлосъхранение, енергийна ефективност, устойчиво използване на природните ресурси, в рамките на икономически обоснован експлоатационен срок“, и допринася за изпълнението на стратегическа цел „Гарантиране на устойчиво строителство на територията на Република България чрез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стандарти в областта на строителството“.</w:t>
      </w:r>
    </w:p>
    <w:p w:rsidR="007A6C32" w:rsidRPr="006869CB" w:rsidRDefault="007A6C32" w:rsidP="007A6C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Индикатор „Контролирана свлачищна територия“</w:t>
      </w:r>
      <w:r w:rsidRPr="006869CB">
        <w:rPr>
          <w:rFonts w:ascii="Times New Roman" w:hAnsi="Times New Roman" w:cs="Times New Roman"/>
        </w:rPr>
        <w:t xml:space="preserve"> – </w:t>
      </w:r>
      <w:r w:rsidR="00BE1E52" w:rsidRPr="006869CB">
        <w:rPr>
          <w:rFonts w:ascii="Times New Roman" w:hAnsi="Times New Roman" w:cs="Times New Roman"/>
        </w:rPr>
        <w:t>индикаторът</w:t>
      </w:r>
      <w:r w:rsidRPr="006869CB">
        <w:rPr>
          <w:rFonts w:ascii="Times New Roman" w:hAnsi="Times New Roman" w:cs="Times New Roman"/>
        </w:rPr>
        <w:t xml:space="preserve"> отразява площта в хектари (ха), предвидена за мониторинг и режимни изследвания на свлачищните райони на територията на страната, включващи измервания на контролно-измервателни системи в свлачища. </w:t>
      </w:r>
      <w:r w:rsidR="00BE1E52" w:rsidRPr="006869CB">
        <w:rPr>
          <w:rFonts w:ascii="Times New Roman" w:hAnsi="Times New Roman" w:cs="Times New Roman"/>
        </w:rPr>
        <w:t>Индикаторът</w:t>
      </w:r>
      <w:r w:rsidRPr="006869CB">
        <w:rPr>
          <w:rFonts w:ascii="Times New Roman" w:hAnsi="Times New Roman" w:cs="Times New Roman"/>
        </w:rPr>
        <w:t xml:space="preserve"> се отнася към стратегическа цел „Превенция и ограничаване на свлачищните процеси на територията на страната и на ерозионните и абразионните процеси по Дунавското и Черноморското крайбрежие“.</w:t>
      </w:r>
    </w:p>
    <w:p w:rsidR="007A6C32" w:rsidRPr="006869CB" w:rsidRDefault="007A6C32" w:rsidP="007A6C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Индикатор „Решения на Министерския съвет за изменения и допълнения на списъка на общинските пътища“</w:t>
      </w:r>
      <w:r w:rsidRPr="006869CB">
        <w:rPr>
          <w:rFonts w:ascii="Times New Roman" w:hAnsi="Times New Roman" w:cs="Times New Roman"/>
        </w:rPr>
        <w:t xml:space="preserve"> е на база предложения на общините за включване на нови пътни трасета или изменения на трасета в списъка на общинските пътища, одобрени и приети от Министерския съвет. </w:t>
      </w:r>
      <w:r w:rsidR="00C75585" w:rsidRPr="006869CB">
        <w:rPr>
          <w:rFonts w:ascii="Times New Roman" w:hAnsi="Times New Roman" w:cs="Times New Roman"/>
        </w:rPr>
        <w:t>Индикаторът</w:t>
      </w:r>
      <w:r w:rsidRPr="006869CB">
        <w:rPr>
          <w:rFonts w:ascii="Times New Roman" w:hAnsi="Times New Roman" w:cs="Times New Roman"/>
        </w:rPr>
        <w:t xml:space="preserve"> се отнася към стратегическа цел „Нормативна и приложна дейност в областта на пътната инфраструктура“.</w:t>
      </w:r>
    </w:p>
    <w:p w:rsidR="00110B7B" w:rsidRPr="006869CB" w:rsidRDefault="007A6C32" w:rsidP="00AB2B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9CB">
        <w:rPr>
          <w:rFonts w:ascii="Times New Roman" w:hAnsi="Times New Roman" w:cs="Times New Roman"/>
          <w:b/>
          <w:i/>
        </w:rPr>
        <w:t>Индикатор „Завършен благоустройствен пътен обект/подобрена жизнена среда“</w:t>
      </w:r>
      <w:r w:rsidRPr="006869CB">
        <w:rPr>
          <w:rFonts w:ascii="Times New Roman" w:hAnsi="Times New Roman" w:cs="Times New Roman"/>
        </w:rPr>
        <w:t xml:space="preserve"> е на база издадено Разрешение за ползване/Удостоверение за въвеждане в експлоатация. </w:t>
      </w:r>
      <w:r w:rsidR="00BE1E52" w:rsidRPr="006869CB">
        <w:rPr>
          <w:rFonts w:ascii="Times New Roman" w:hAnsi="Times New Roman" w:cs="Times New Roman"/>
        </w:rPr>
        <w:t>Индикаторът</w:t>
      </w:r>
      <w:r w:rsidRPr="006869CB">
        <w:rPr>
          <w:rFonts w:ascii="Times New Roman" w:hAnsi="Times New Roman" w:cs="Times New Roman"/>
        </w:rPr>
        <w:t xml:space="preserve"> се отнася към </w:t>
      </w:r>
      <w:r w:rsidRPr="006869CB">
        <w:rPr>
          <w:rFonts w:ascii="Times New Roman" w:hAnsi="Times New Roman" w:cs="Times New Roman"/>
        </w:rPr>
        <w:lastRenderedPageBreak/>
        <w:t>стратегическа цел „Качествено транспортно обслужване по местни пътища; Подобряване на качеството на жизнената среда“.</w:t>
      </w:r>
    </w:p>
    <w:p w:rsidR="00AB2BCE" w:rsidRPr="00932105" w:rsidRDefault="00AB2BCE" w:rsidP="00AB2B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869CB">
        <w:rPr>
          <w:rFonts w:ascii="Times New Roman" w:hAnsi="Times New Roman" w:cs="Times New Roman"/>
          <w:b/>
          <w:i/>
        </w:rPr>
        <w:t>Индикатор „Обезпечаване на територията на страната с общи устройствени планове“</w:t>
      </w:r>
      <w:r w:rsidRPr="006869CB">
        <w:rPr>
          <w:rFonts w:ascii="Times New Roman" w:hAnsi="Times New Roman" w:cs="Times New Roman"/>
        </w:rPr>
        <w:t xml:space="preserve"> изпълнява стратегическа цел</w:t>
      </w:r>
      <w:r w:rsidRPr="006869CB">
        <w:rPr>
          <w:rFonts w:ascii="Times New Roman" w:hAnsi="Times New Roman" w:cs="Times New Roman"/>
          <w:b/>
        </w:rPr>
        <w:t xml:space="preserve"> </w:t>
      </w:r>
      <w:r w:rsidRPr="006869CB">
        <w:rPr>
          <w:rFonts w:ascii="Times New Roman" w:hAnsi="Times New Roman" w:cs="Times New Roman"/>
        </w:rPr>
        <w:t xml:space="preserve"> „</w:t>
      </w:r>
      <w:r w:rsidRPr="006869CB">
        <w:rPr>
          <w:rFonts w:ascii="Times New Roman" w:hAnsi="Times New Roman" w:cs="Times New Roman"/>
          <w:color w:val="000000" w:themeColor="text1"/>
        </w:rPr>
        <w:t>Гарантиране на устойчиво развитие на територията на Република България като национално богатство, създаване на благоприятни условия за устойчиво и балансирано икономическо развитие, изграждане, ползване и опазване на хармонична и достъпна среда за живеене, труд и отдих, опазване на околната среда и културно-историческото наследство“.</w:t>
      </w:r>
    </w:p>
    <w:p w:rsidR="00AB2BCE" w:rsidRPr="00932105" w:rsidRDefault="00AB2BCE" w:rsidP="00AB2B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B2BCE" w:rsidRPr="00932105" w:rsidSect="000D6BB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EB" w:rsidRDefault="009E2BEB" w:rsidP="00E7648F">
      <w:pPr>
        <w:spacing w:after="0" w:line="240" w:lineRule="auto"/>
      </w:pPr>
      <w:r>
        <w:separator/>
      </w:r>
    </w:p>
  </w:endnote>
  <w:endnote w:type="continuationSeparator" w:id="0">
    <w:p w:rsidR="009E2BEB" w:rsidRDefault="009E2BEB" w:rsidP="00E7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EB" w:rsidRDefault="009E2BEB" w:rsidP="00E7648F">
      <w:pPr>
        <w:spacing w:after="0" w:line="240" w:lineRule="auto"/>
      </w:pPr>
      <w:r>
        <w:separator/>
      </w:r>
    </w:p>
  </w:footnote>
  <w:footnote w:type="continuationSeparator" w:id="0">
    <w:p w:rsidR="009E2BEB" w:rsidRDefault="009E2BEB" w:rsidP="00E7648F">
      <w:pPr>
        <w:spacing w:after="0" w:line="240" w:lineRule="auto"/>
      </w:pPr>
      <w:r>
        <w:continuationSeparator/>
      </w:r>
    </w:p>
  </w:footnote>
  <w:footnote w:id="1">
    <w:p w:rsidR="00E7648F" w:rsidRPr="00E7648F" w:rsidRDefault="00E7648F" w:rsidP="00E7648F">
      <w:pPr>
        <w:pStyle w:val="FootnoteTex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869CB">
        <w:rPr>
          <w:rStyle w:val="FootnoteReference"/>
          <w:rFonts w:ascii="Times New Roman" w:hAnsi="Times New Roman" w:cs="Times New Roman"/>
        </w:rPr>
        <w:footnoteRef/>
      </w:r>
      <w:r w:rsidRPr="006869CB">
        <w:rPr>
          <w:rFonts w:ascii="Times New Roman" w:hAnsi="Times New Roman" w:cs="Times New Roman"/>
        </w:rPr>
        <w:t xml:space="preserve"> </w:t>
      </w:r>
      <w:r w:rsidRPr="006869CB">
        <w:rPr>
          <w:rFonts w:ascii="Times New Roman" w:hAnsi="Times New Roman" w:cs="Times New Roman"/>
          <w:lang w:val="ru-RU"/>
        </w:rPr>
        <w:t>Целевите стойности са определени в одобрените от ЕК програмни документи за целия период на изпълнение на програмите</w:t>
      </w:r>
      <w:r w:rsidRPr="006869CB"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EA0"/>
    <w:multiLevelType w:val="hybridMultilevel"/>
    <w:tmpl w:val="84C289B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407EA9"/>
    <w:multiLevelType w:val="hybridMultilevel"/>
    <w:tmpl w:val="85824476"/>
    <w:lvl w:ilvl="0" w:tplc="EC587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D93"/>
    <w:multiLevelType w:val="hybridMultilevel"/>
    <w:tmpl w:val="496AB3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E24149"/>
    <w:multiLevelType w:val="hybridMultilevel"/>
    <w:tmpl w:val="97F8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C63"/>
    <w:multiLevelType w:val="hybridMultilevel"/>
    <w:tmpl w:val="602C01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5095"/>
    <w:multiLevelType w:val="hybridMultilevel"/>
    <w:tmpl w:val="23D61D42"/>
    <w:lvl w:ilvl="0" w:tplc="D64A6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47B1"/>
    <w:multiLevelType w:val="hybridMultilevel"/>
    <w:tmpl w:val="3D88E94A"/>
    <w:lvl w:ilvl="0" w:tplc="E5929DC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D30994"/>
    <w:multiLevelType w:val="hybridMultilevel"/>
    <w:tmpl w:val="D7CEA2A8"/>
    <w:lvl w:ilvl="0" w:tplc="FA80A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5721"/>
    <w:multiLevelType w:val="hybridMultilevel"/>
    <w:tmpl w:val="84BCA5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3E3ADA"/>
    <w:multiLevelType w:val="hybridMultilevel"/>
    <w:tmpl w:val="F856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1E92"/>
    <w:multiLevelType w:val="hybridMultilevel"/>
    <w:tmpl w:val="ADD076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6D58"/>
    <w:multiLevelType w:val="hybridMultilevel"/>
    <w:tmpl w:val="2CE6D4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6F59"/>
    <w:multiLevelType w:val="hybridMultilevel"/>
    <w:tmpl w:val="48A412CC"/>
    <w:lvl w:ilvl="0" w:tplc="BC4C5A94">
      <w:start w:val="202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46A40"/>
    <w:multiLevelType w:val="hybridMultilevel"/>
    <w:tmpl w:val="7D64DB6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0591C"/>
    <w:multiLevelType w:val="hybridMultilevel"/>
    <w:tmpl w:val="5592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D2705"/>
    <w:multiLevelType w:val="hybridMultilevel"/>
    <w:tmpl w:val="09264D2C"/>
    <w:lvl w:ilvl="0" w:tplc="70E0D6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6DAF"/>
    <w:multiLevelType w:val="hybridMultilevel"/>
    <w:tmpl w:val="726AAA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47DE1"/>
    <w:multiLevelType w:val="hybridMultilevel"/>
    <w:tmpl w:val="44FA7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0337"/>
    <w:multiLevelType w:val="hybridMultilevel"/>
    <w:tmpl w:val="22F45D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CB079A"/>
    <w:multiLevelType w:val="hybridMultilevel"/>
    <w:tmpl w:val="794E1D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D70BC"/>
    <w:multiLevelType w:val="hybridMultilevel"/>
    <w:tmpl w:val="5808A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475052"/>
    <w:multiLevelType w:val="hybridMultilevel"/>
    <w:tmpl w:val="232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43ABC"/>
    <w:multiLevelType w:val="hybridMultilevel"/>
    <w:tmpl w:val="F9082B0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E4278D"/>
    <w:multiLevelType w:val="hybridMultilevel"/>
    <w:tmpl w:val="E92008D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7"/>
  </w:num>
  <w:num w:numId="9">
    <w:abstractNumId w:val="2"/>
  </w:num>
  <w:num w:numId="10">
    <w:abstractNumId w:val="18"/>
  </w:num>
  <w:num w:numId="11">
    <w:abstractNumId w:val="14"/>
  </w:num>
  <w:num w:numId="12">
    <w:abstractNumId w:val="12"/>
  </w:num>
  <w:num w:numId="13">
    <w:abstractNumId w:val="10"/>
  </w:num>
  <w:num w:numId="14">
    <w:abstractNumId w:val="20"/>
  </w:num>
  <w:num w:numId="15">
    <w:abstractNumId w:val="0"/>
  </w:num>
  <w:num w:numId="16">
    <w:abstractNumId w:val="9"/>
  </w:num>
  <w:num w:numId="17">
    <w:abstractNumId w:val="4"/>
  </w:num>
  <w:num w:numId="18">
    <w:abstractNumId w:val="1"/>
  </w:num>
  <w:num w:numId="19">
    <w:abstractNumId w:val="16"/>
  </w:num>
  <w:num w:numId="20">
    <w:abstractNumId w:val="8"/>
  </w:num>
  <w:num w:numId="21">
    <w:abstractNumId w:val="5"/>
  </w:num>
  <w:num w:numId="22">
    <w:abstractNumId w:val="7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2"/>
    <w:rsid w:val="000015F7"/>
    <w:rsid w:val="000023B8"/>
    <w:rsid w:val="000163AC"/>
    <w:rsid w:val="000271A0"/>
    <w:rsid w:val="00036913"/>
    <w:rsid w:val="00041B49"/>
    <w:rsid w:val="00042129"/>
    <w:rsid w:val="000437CD"/>
    <w:rsid w:val="000472C5"/>
    <w:rsid w:val="00073599"/>
    <w:rsid w:val="00091C5B"/>
    <w:rsid w:val="000A695A"/>
    <w:rsid w:val="000D0F1D"/>
    <w:rsid w:val="000D6BB2"/>
    <w:rsid w:val="000E0EFB"/>
    <w:rsid w:val="000F14E6"/>
    <w:rsid w:val="00110B7B"/>
    <w:rsid w:val="001210D8"/>
    <w:rsid w:val="001221E4"/>
    <w:rsid w:val="00124F2E"/>
    <w:rsid w:val="00133ADB"/>
    <w:rsid w:val="001426C4"/>
    <w:rsid w:val="00161584"/>
    <w:rsid w:val="001A6EE1"/>
    <w:rsid w:val="001D02E1"/>
    <w:rsid w:val="001D2921"/>
    <w:rsid w:val="001E2969"/>
    <w:rsid w:val="001E5204"/>
    <w:rsid w:val="001E6C6E"/>
    <w:rsid w:val="001F4E69"/>
    <w:rsid w:val="00223EEC"/>
    <w:rsid w:val="00227A38"/>
    <w:rsid w:val="00230093"/>
    <w:rsid w:val="00232C93"/>
    <w:rsid w:val="00235BF0"/>
    <w:rsid w:val="00236DB2"/>
    <w:rsid w:val="00244EB5"/>
    <w:rsid w:val="00251209"/>
    <w:rsid w:val="002814EC"/>
    <w:rsid w:val="00292106"/>
    <w:rsid w:val="00292E11"/>
    <w:rsid w:val="00296C8E"/>
    <w:rsid w:val="002A6D7B"/>
    <w:rsid w:val="002B0B87"/>
    <w:rsid w:val="002D33D2"/>
    <w:rsid w:val="002F5266"/>
    <w:rsid w:val="0032516B"/>
    <w:rsid w:val="00332878"/>
    <w:rsid w:val="00335542"/>
    <w:rsid w:val="00336A09"/>
    <w:rsid w:val="00357E63"/>
    <w:rsid w:val="00361CB1"/>
    <w:rsid w:val="0038562D"/>
    <w:rsid w:val="00390DCC"/>
    <w:rsid w:val="003A4D7E"/>
    <w:rsid w:val="00400BAF"/>
    <w:rsid w:val="004169EE"/>
    <w:rsid w:val="00422DB5"/>
    <w:rsid w:val="00431DD5"/>
    <w:rsid w:val="00436131"/>
    <w:rsid w:val="00445FE2"/>
    <w:rsid w:val="004718D8"/>
    <w:rsid w:val="0047668C"/>
    <w:rsid w:val="00486511"/>
    <w:rsid w:val="004C69C4"/>
    <w:rsid w:val="004D0BEF"/>
    <w:rsid w:val="0050131E"/>
    <w:rsid w:val="0050450F"/>
    <w:rsid w:val="0051447D"/>
    <w:rsid w:val="00516935"/>
    <w:rsid w:val="0051757E"/>
    <w:rsid w:val="0054381B"/>
    <w:rsid w:val="00561ACB"/>
    <w:rsid w:val="00566F1F"/>
    <w:rsid w:val="005678F7"/>
    <w:rsid w:val="00567E64"/>
    <w:rsid w:val="00572E70"/>
    <w:rsid w:val="005774C5"/>
    <w:rsid w:val="00592B45"/>
    <w:rsid w:val="005973A4"/>
    <w:rsid w:val="005A56E6"/>
    <w:rsid w:val="005E672A"/>
    <w:rsid w:val="005F0A1B"/>
    <w:rsid w:val="005F3250"/>
    <w:rsid w:val="005F6049"/>
    <w:rsid w:val="00636F1F"/>
    <w:rsid w:val="00645ADB"/>
    <w:rsid w:val="006500A5"/>
    <w:rsid w:val="0066565F"/>
    <w:rsid w:val="006838CF"/>
    <w:rsid w:val="006869CB"/>
    <w:rsid w:val="00696650"/>
    <w:rsid w:val="006D65CC"/>
    <w:rsid w:val="006F09B6"/>
    <w:rsid w:val="00703B68"/>
    <w:rsid w:val="00705F9D"/>
    <w:rsid w:val="007229B4"/>
    <w:rsid w:val="00731BF9"/>
    <w:rsid w:val="00743A97"/>
    <w:rsid w:val="00766A55"/>
    <w:rsid w:val="007816C1"/>
    <w:rsid w:val="00785182"/>
    <w:rsid w:val="00797541"/>
    <w:rsid w:val="007A5427"/>
    <w:rsid w:val="007A6C32"/>
    <w:rsid w:val="007C628B"/>
    <w:rsid w:val="008022CC"/>
    <w:rsid w:val="00856B72"/>
    <w:rsid w:val="00857ECF"/>
    <w:rsid w:val="0088216A"/>
    <w:rsid w:val="00883242"/>
    <w:rsid w:val="00884553"/>
    <w:rsid w:val="008A73F6"/>
    <w:rsid w:val="008D0E15"/>
    <w:rsid w:val="008E71C6"/>
    <w:rsid w:val="009032DF"/>
    <w:rsid w:val="009047AE"/>
    <w:rsid w:val="00932105"/>
    <w:rsid w:val="009506A3"/>
    <w:rsid w:val="009754CB"/>
    <w:rsid w:val="00990780"/>
    <w:rsid w:val="009A1627"/>
    <w:rsid w:val="009A4D33"/>
    <w:rsid w:val="009A6C01"/>
    <w:rsid w:val="009A7122"/>
    <w:rsid w:val="009D3983"/>
    <w:rsid w:val="009E2BEB"/>
    <w:rsid w:val="009E6748"/>
    <w:rsid w:val="009F4E60"/>
    <w:rsid w:val="009F5349"/>
    <w:rsid w:val="00A1474D"/>
    <w:rsid w:val="00A21989"/>
    <w:rsid w:val="00A35D63"/>
    <w:rsid w:val="00A81DD4"/>
    <w:rsid w:val="00A93D21"/>
    <w:rsid w:val="00AA387D"/>
    <w:rsid w:val="00AB2BCE"/>
    <w:rsid w:val="00AB629A"/>
    <w:rsid w:val="00AD2CF7"/>
    <w:rsid w:val="00AD6F15"/>
    <w:rsid w:val="00AE0B4B"/>
    <w:rsid w:val="00B24E7D"/>
    <w:rsid w:val="00B53E78"/>
    <w:rsid w:val="00B76FD3"/>
    <w:rsid w:val="00BA0712"/>
    <w:rsid w:val="00BC2B0A"/>
    <w:rsid w:val="00BC6F10"/>
    <w:rsid w:val="00BE1E52"/>
    <w:rsid w:val="00BF6E44"/>
    <w:rsid w:val="00C001EF"/>
    <w:rsid w:val="00C02E15"/>
    <w:rsid w:val="00C031A7"/>
    <w:rsid w:val="00C145D6"/>
    <w:rsid w:val="00C546E1"/>
    <w:rsid w:val="00C56CC5"/>
    <w:rsid w:val="00C57945"/>
    <w:rsid w:val="00C644D5"/>
    <w:rsid w:val="00C75585"/>
    <w:rsid w:val="00C94252"/>
    <w:rsid w:val="00CA2B5A"/>
    <w:rsid w:val="00CB5152"/>
    <w:rsid w:val="00CC4781"/>
    <w:rsid w:val="00D25CB9"/>
    <w:rsid w:val="00D469AA"/>
    <w:rsid w:val="00D502BB"/>
    <w:rsid w:val="00D545AA"/>
    <w:rsid w:val="00D66976"/>
    <w:rsid w:val="00D722D9"/>
    <w:rsid w:val="00D7312D"/>
    <w:rsid w:val="00D94DB3"/>
    <w:rsid w:val="00DA4FB3"/>
    <w:rsid w:val="00DB40C4"/>
    <w:rsid w:val="00DD2ABE"/>
    <w:rsid w:val="00DF176A"/>
    <w:rsid w:val="00E40853"/>
    <w:rsid w:val="00E41EED"/>
    <w:rsid w:val="00E50790"/>
    <w:rsid w:val="00E61311"/>
    <w:rsid w:val="00E746D3"/>
    <w:rsid w:val="00E7648F"/>
    <w:rsid w:val="00E87D36"/>
    <w:rsid w:val="00EA69CC"/>
    <w:rsid w:val="00ED3FFE"/>
    <w:rsid w:val="00EE7875"/>
    <w:rsid w:val="00EF2D67"/>
    <w:rsid w:val="00F05C69"/>
    <w:rsid w:val="00F22561"/>
    <w:rsid w:val="00F32A79"/>
    <w:rsid w:val="00F3785D"/>
    <w:rsid w:val="00F67809"/>
    <w:rsid w:val="00F72F8B"/>
    <w:rsid w:val="00F73FAA"/>
    <w:rsid w:val="00F95C1F"/>
    <w:rsid w:val="00F96326"/>
    <w:rsid w:val="00FB338C"/>
    <w:rsid w:val="00FC1323"/>
    <w:rsid w:val="00FE27C9"/>
    <w:rsid w:val="00FE3387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AA71E-D97D-48E7-8622-032C7A57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15"/>
  </w:style>
  <w:style w:type="paragraph" w:styleId="Heading1">
    <w:name w:val="heading 1"/>
    <w:basedOn w:val="Normal"/>
    <w:next w:val="Normal"/>
    <w:link w:val="Heading1Char"/>
    <w:qFormat/>
    <w:rsid w:val="0023009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0093"/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421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04212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DC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DC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390DCC"/>
    <w:pPr>
      <w:spacing w:after="0" w:line="240" w:lineRule="auto"/>
    </w:pPr>
  </w:style>
  <w:style w:type="table" w:styleId="TableGrid">
    <w:name w:val="Table Grid"/>
    <w:basedOn w:val="TableNormal"/>
    <w:uiPriority w:val="59"/>
    <w:rsid w:val="00E5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F32A79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76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48F"/>
    <w:rPr>
      <w:vertAlign w:val="superscript"/>
    </w:rPr>
  </w:style>
  <w:style w:type="paragraph" w:styleId="NormalWeb">
    <w:name w:val="Normal (Web)"/>
    <w:basedOn w:val="Normal"/>
    <w:uiPriority w:val="99"/>
    <w:rsid w:val="00BC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FB2700-C272-4B55-8F1C-0DE1F236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10099</Words>
  <Characters>57568</Characters>
  <Application>Microsoft Office Word</Application>
  <DocSecurity>0</DocSecurity>
  <Lines>479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 Нургалиев</dc:creator>
  <cp:lastModifiedBy>MARIYA ALENTINOVA HRISTOVA</cp:lastModifiedBy>
  <cp:revision>407</cp:revision>
  <dcterms:created xsi:type="dcterms:W3CDTF">2024-08-26T10:46:00Z</dcterms:created>
  <dcterms:modified xsi:type="dcterms:W3CDTF">2024-09-19T12:24:00Z</dcterms:modified>
</cp:coreProperties>
</file>